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snapToGrid w:val="0"/>
        <w:spacing w:before="0" w:after="0" w:line="360" w:lineRule="auto"/>
        <w:ind w:left="419" w:hanging="419" w:hangingChars="116"/>
        <w:jc w:val="center"/>
        <w:rPr>
          <w:rFonts w:ascii="仿宋" w:hAnsi="仿宋" w:eastAsia="仿宋"/>
          <w:sz w:val="36"/>
          <w:szCs w:val="36"/>
        </w:rPr>
      </w:pPr>
      <w:bookmarkStart w:id="0" w:name="_Toc14858699"/>
      <w:bookmarkStart w:id="1" w:name="_Toc14101497"/>
      <w:bookmarkStart w:id="2" w:name="_Toc14186269"/>
      <w:bookmarkStart w:id="3" w:name="_Toc14178302"/>
      <w:bookmarkStart w:id="4" w:name="_Toc14162813"/>
      <w:bookmarkStart w:id="5" w:name="_Toc14101231"/>
      <w:bookmarkStart w:id="6" w:name="_Toc14251434"/>
      <w:bookmarkStart w:id="31" w:name="_GoBack"/>
      <w:r>
        <w:rPr>
          <w:rFonts w:hint="eastAsia" w:ascii="仿宋" w:hAnsi="仿宋" w:eastAsia="仿宋"/>
          <w:sz w:val="36"/>
          <w:szCs w:val="36"/>
        </w:rPr>
        <w:t>企业境外投资税务风险管理咨询</w:t>
      </w:r>
      <w:r>
        <w:rPr>
          <w:rFonts w:ascii="仿宋" w:hAnsi="仿宋" w:eastAsia="仿宋"/>
          <w:sz w:val="36"/>
          <w:szCs w:val="36"/>
        </w:rPr>
        <w:t>业务</w:t>
      </w:r>
      <w:r>
        <w:rPr>
          <w:rFonts w:hint="eastAsia" w:ascii="仿宋" w:hAnsi="仿宋" w:eastAsia="仿宋"/>
          <w:sz w:val="36"/>
          <w:szCs w:val="36"/>
        </w:rPr>
        <w:t>指引</w:t>
      </w:r>
      <w:bookmarkEnd w:id="31"/>
      <w:bookmarkEnd w:id="0"/>
      <w:bookmarkEnd w:id="1"/>
      <w:bookmarkEnd w:id="2"/>
      <w:bookmarkEnd w:id="3"/>
      <w:bookmarkEnd w:id="4"/>
      <w:bookmarkEnd w:id="5"/>
      <w:bookmarkEnd w:id="6"/>
    </w:p>
    <w:p>
      <w:pPr>
        <w:jc w:val="center"/>
        <w:rPr>
          <w:rFonts w:ascii="仿宋" w:hAnsi="仿宋" w:eastAsia="仿宋"/>
          <w:b/>
          <w:bCs/>
          <w:kern w:val="44"/>
          <w:sz w:val="36"/>
          <w:szCs w:val="36"/>
        </w:rPr>
      </w:pPr>
      <w:r>
        <w:rPr>
          <w:rFonts w:hint="eastAsia" w:ascii="仿宋" w:hAnsi="仿宋" w:eastAsia="仿宋"/>
          <w:b/>
          <w:bCs/>
          <w:kern w:val="44"/>
          <w:sz w:val="36"/>
          <w:szCs w:val="36"/>
        </w:rPr>
        <w:t>——税务师行业涉税专业服务规范第3.4.3号</w:t>
      </w:r>
    </w:p>
    <w:p>
      <w:pPr>
        <w:jc w:val="center"/>
        <w:rPr>
          <w:rFonts w:ascii="仿宋" w:hAnsi="仿宋" w:eastAsia="仿宋"/>
          <w:b/>
          <w:bCs/>
          <w:kern w:val="44"/>
          <w:sz w:val="36"/>
          <w:szCs w:val="36"/>
        </w:rPr>
      </w:pPr>
      <w:r>
        <w:rPr>
          <w:rFonts w:hint="eastAsia" w:ascii="仿宋" w:hAnsi="仿宋" w:eastAsia="仿宋"/>
          <w:b/>
          <w:bCs/>
          <w:kern w:val="44"/>
          <w:sz w:val="36"/>
          <w:szCs w:val="36"/>
        </w:rPr>
        <w:t>（试行）</w:t>
      </w:r>
    </w:p>
    <w:p>
      <w:pPr>
        <w:jc w:val="center"/>
        <w:rPr>
          <w:rFonts w:ascii="仿宋" w:hAnsi="仿宋" w:eastAsia="仿宋"/>
          <w:b/>
          <w:bCs/>
          <w:kern w:val="44"/>
          <w:sz w:val="36"/>
          <w:szCs w:val="36"/>
        </w:rPr>
      </w:pPr>
    </w:p>
    <w:p>
      <w:pPr>
        <w:jc w:val="center"/>
        <w:rPr>
          <w:rFonts w:ascii="仿宋" w:hAnsi="仿宋" w:eastAsia="仿宋"/>
          <w:b/>
          <w:bCs/>
          <w:kern w:val="44"/>
        </w:rPr>
      </w:pPr>
    </w:p>
    <w:p/>
    <w:p>
      <w:pPr>
        <w:pStyle w:val="3"/>
        <w:snapToGrid w:val="0"/>
        <w:spacing w:before="0" w:after="0" w:line="360" w:lineRule="auto"/>
      </w:pPr>
      <w:bookmarkStart w:id="7" w:name="_Toc14101232"/>
      <w:bookmarkStart w:id="8" w:name="_Toc14101498"/>
      <w:bookmarkStart w:id="9" w:name="_Toc14162814"/>
      <w:r>
        <w:rPr>
          <w:rFonts w:hint="eastAsia"/>
        </w:rPr>
        <w:t>第一章 总  则</w:t>
      </w:r>
      <w:bookmarkEnd w:id="7"/>
      <w:bookmarkEnd w:id="8"/>
      <w:bookmarkEnd w:id="9"/>
    </w:p>
    <w:p>
      <w:pPr>
        <w:tabs>
          <w:tab w:val="left" w:pos="709"/>
        </w:tabs>
        <w:snapToGrid w:val="0"/>
        <w:spacing w:line="360" w:lineRule="auto"/>
        <w:ind w:firstLine="660"/>
        <w:rPr>
          <w:rFonts w:ascii="仿宋" w:hAnsi="仿宋" w:eastAsia="仿宋"/>
          <w:kern w:val="0"/>
          <w:sz w:val="32"/>
          <w:szCs w:val="32"/>
        </w:rPr>
      </w:pPr>
      <w:r>
        <w:rPr>
          <w:rFonts w:hint="eastAsia" w:ascii="仿宋" w:hAnsi="仿宋" w:eastAsia="仿宋"/>
          <w:b/>
          <w:sz w:val="32"/>
          <w:szCs w:val="32"/>
        </w:rPr>
        <w:t>第一条</w:t>
      </w:r>
      <w:r>
        <w:rPr>
          <w:rFonts w:hint="eastAsia" w:ascii="仿宋" w:hAnsi="仿宋" w:eastAsia="仿宋"/>
          <w:sz w:val="32"/>
          <w:szCs w:val="32"/>
        </w:rPr>
        <w:t xml:space="preserve"> 为规范税务师事务所及其具有资质的涉税服务人员（以下简称“涉税服务人员”）提供企业境外投资税务风险管理咨询服务，提高执业质量，防范执业风险，根据《涉税专业服务监管办法(试行)》（国家税务总局公告2017年第13号）和中国注册税务师协会《税务师行业涉税专业服务规范基本指引（试行）》、《税收策划业务指引（试行）》，制定本指引。</w:t>
      </w:r>
    </w:p>
    <w:p>
      <w:pPr>
        <w:snapToGrid w:val="0"/>
        <w:spacing w:line="360" w:lineRule="auto"/>
        <w:ind w:firstLine="660"/>
        <w:rPr>
          <w:rFonts w:ascii="仿宋" w:hAnsi="仿宋" w:eastAsia="仿宋"/>
          <w:b/>
          <w:kern w:val="0"/>
          <w:sz w:val="32"/>
          <w:szCs w:val="32"/>
        </w:rPr>
      </w:pPr>
      <w:r>
        <w:rPr>
          <w:rFonts w:hint="eastAsia" w:ascii="仿宋" w:hAnsi="仿宋" w:eastAsia="仿宋"/>
          <w:b/>
          <w:sz w:val="32"/>
          <w:szCs w:val="32"/>
        </w:rPr>
        <w:t>第二条</w:t>
      </w:r>
      <w:r>
        <w:rPr>
          <w:rFonts w:hint="eastAsia" w:ascii="仿宋" w:hAnsi="仿宋" w:eastAsia="仿宋"/>
          <w:sz w:val="32"/>
          <w:szCs w:val="32"/>
        </w:rPr>
        <w:t xml:space="preserve"> 税务师事务所及其涉税服务人员</w:t>
      </w:r>
      <w:r>
        <w:rPr>
          <w:rFonts w:hint="eastAsia" w:ascii="仿宋" w:hAnsi="仿宋" w:eastAsia="仿宋"/>
          <w:kern w:val="0"/>
          <w:sz w:val="32"/>
          <w:szCs w:val="32"/>
        </w:rPr>
        <w:t>承办企业境外投资税务风险管理咨询业务适用本指引。</w:t>
      </w:r>
    </w:p>
    <w:p>
      <w:pPr>
        <w:snapToGrid w:val="0"/>
        <w:spacing w:line="360" w:lineRule="auto"/>
        <w:ind w:firstLine="660"/>
        <w:rPr>
          <w:rFonts w:ascii="仿宋" w:hAnsi="仿宋" w:eastAsia="仿宋"/>
          <w:b/>
          <w:kern w:val="0"/>
          <w:sz w:val="32"/>
          <w:szCs w:val="32"/>
        </w:rPr>
      </w:pPr>
      <w:r>
        <w:rPr>
          <w:rFonts w:hint="eastAsia" w:ascii="仿宋" w:hAnsi="仿宋" w:eastAsia="仿宋"/>
          <w:b/>
          <w:sz w:val="32"/>
          <w:szCs w:val="32"/>
        </w:rPr>
        <w:t>第三条</w:t>
      </w:r>
      <w:r>
        <w:rPr>
          <w:rFonts w:ascii="仿宋" w:hAnsi="仿宋" w:eastAsia="仿宋"/>
          <w:b/>
          <w:sz w:val="32"/>
          <w:szCs w:val="32"/>
        </w:rPr>
        <w:t xml:space="preserve"> </w:t>
      </w:r>
      <w:r>
        <w:rPr>
          <w:rFonts w:hint="eastAsia" w:ascii="仿宋" w:hAnsi="仿宋" w:eastAsia="仿宋"/>
          <w:sz w:val="32"/>
          <w:szCs w:val="32"/>
        </w:rPr>
        <w:t>实施</w:t>
      </w:r>
      <w:r>
        <w:rPr>
          <w:rFonts w:hint="eastAsia" w:ascii="仿宋" w:hAnsi="仿宋" w:eastAsia="仿宋"/>
          <w:kern w:val="0"/>
          <w:sz w:val="32"/>
          <w:szCs w:val="32"/>
        </w:rPr>
        <w:t>企业境外投资税务风险管理咨询</w:t>
      </w:r>
      <w:r>
        <w:rPr>
          <w:rFonts w:hint="eastAsia" w:ascii="仿宋" w:hAnsi="仿宋" w:eastAsia="仿宋"/>
          <w:sz w:val="32"/>
          <w:szCs w:val="32"/>
        </w:rPr>
        <w:t>业务中应坚持以下基本原则：</w:t>
      </w:r>
    </w:p>
    <w:p>
      <w:pPr>
        <w:snapToGrid w:val="0"/>
        <w:spacing w:line="360" w:lineRule="auto"/>
        <w:ind w:firstLine="660"/>
        <w:rPr>
          <w:rFonts w:ascii="仿宋" w:hAnsi="仿宋" w:eastAsia="仿宋"/>
          <w:sz w:val="32"/>
          <w:szCs w:val="32"/>
        </w:rPr>
      </w:pPr>
      <w:r>
        <w:rPr>
          <w:rFonts w:hint="eastAsia" w:ascii="仿宋" w:hAnsi="仿宋" w:eastAsia="仿宋"/>
          <w:sz w:val="32"/>
          <w:szCs w:val="32"/>
        </w:rPr>
        <w:t>（一）特定目标</w:t>
      </w:r>
      <w:r>
        <w:rPr>
          <w:rFonts w:ascii="仿宋" w:hAnsi="仿宋" w:eastAsia="仿宋"/>
          <w:sz w:val="32"/>
          <w:szCs w:val="32"/>
        </w:rPr>
        <w:t>原则</w:t>
      </w:r>
      <w:r>
        <w:rPr>
          <w:rFonts w:ascii="仿宋" w:hAnsi="仿宋" w:eastAsia="仿宋"/>
          <w:sz w:val="32"/>
          <w:szCs w:val="32"/>
        </w:rPr>
        <w:tab/>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税务师事务所及其涉税服务人员承办企业境外投资税务风险管理咨询业务，应</w:t>
      </w:r>
      <w:r>
        <w:rPr>
          <w:rFonts w:ascii="仿宋" w:hAnsi="仿宋" w:eastAsia="仿宋"/>
          <w:sz w:val="32"/>
          <w:szCs w:val="32"/>
        </w:rPr>
        <w:t>以与委托人约定的委托目标为核心开展服务。</w:t>
      </w:r>
    </w:p>
    <w:p>
      <w:pPr>
        <w:tabs>
          <w:tab w:val="center" w:pos="4436"/>
        </w:tabs>
        <w:snapToGrid w:val="0"/>
        <w:spacing w:line="360" w:lineRule="auto"/>
        <w:ind w:left="-284" w:firstLine="960" w:firstLineChars="300"/>
        <w:rPr>
          <w:rFonts w:ascii="仿宋" w:hAnsi="仿宋" w:eastAsia="仿宋"/>
          <w:sz w:val="32"/>
          <w:szCs w:val="32"/>
        </w:rPr>
      </w:pPr>
      <w:r>
        <w:rPr>
          <w:rFonts w:hint="eastAsia" w:ascii="仿宋" w:hAnsi="仿宋" w:eastAsia="仿宋"/>
          <w:sz w:val="32"/>
          <w:szCs w:val="32"/>
        </w:rPr>
        <w:t>（二）合理商业目的原则</w:t>
      </w:r>
    </w:p>
    <w:p>
      <w:pPr>
        <w:tabs>
          <w:tab w:val="center" w:pos="4436"/>
        </w:tabs>
        <w:snapToGrid w:val="0"/>
        <w:spacing w:line="360" w:lineRule="auto"/>
        <w:ind w:firstLine="640" w:firstLineChars="200"/>
        <w:rPr>
          <w:rFonts w:ascii="仿宋" w:hAnsi="仿宋" w:eastAsia="仿宋"/>
          <w:kern w:val="0"/>
          <w:sz w:val="32"/>
          <w:szCs w:val="32"/>
        </w:rPr>
      </w:pPr>
      <w:r>
        <w:rPr>
          <w:rFonts w:hint="eastAsia" w:ascii="仿宋" w:hAnsi="仿宋" w:eastAsia="仿宋"/>
          <w:sz w:val="32"/>
          <w:szCs w:val="32"/>
        </w:rPr>
        <w:t>税务师事务所及其涉税服务人员承办企业境外投资税务风险管理咨询业务，应基于委托人的合理商业目的，服务过程和服务成果不得以获取税收利益为唯一目的或者主要目的，也不得向委托人建议以形式符合税法规定、但与其经济实质不符的方式获取税收利益。</w:t>
      </w:r>
    </w:p>
    <w:p>
      <w:pPr>
        <w:tabs>
          <w:tab w:val="center" w:pos="4436"/>
        </w:tabs>
        <w:snapToGrid w:val="0"/>
        <w:spacing w:line="360" w:lineRule="auto"/>
        <w:ind w:left="-284" w:firstLine="960" w:firstLineChars="300"/>
        <w:rPr>
          <w:rFonts w:ascii="仿宋" w:hAnsi="仿宋" w:eastAsia="仿宋"/>
          <w:sz w:val="32"/>
          <w:szCs w:val="32"/>
        </w:rPr>
      </w:pPr>
      <w:r>
        <w:rPr>
          <w:rFonts w:hint="eastAsia" w:ascii="仿宋" w:hAnsi="仿宋" w:eastAsia="仿宋"/>
          <w:sz w:val="32"/>
          <w:szCs w:val="32"/>
        </w:rPr>
        <w:t>（三）诚信及保密原则。</w:t>
      </w:r>
    </w:p>
    <w:p>
      <w:pPr>
        <w:tabs>
          <w:tab w:val="center" w:pos="4436"/>
        </w:tabs>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税务师事务所及涉税服务人员承办企业境外投资税务风险管理咨询业务时，应当按照业务委托协议内容完整、真实地提供服务，并根据保密协议或业务委托协议中的保密条款内容为委托方提供的各项信息采取保密措施。</w:t>
      </w:r>
    </w:p>
    <w:p>
      <w:pPr>
        <w:snapToGrid w:val="0"/>
        <w:spacing w:line="360" w:lineRule="auto"/>
        <w:ind w:firstLine="643" w:firstLineChars="200"/>
        <w:rPr>
          <w:rFonts w:ascii="仿宋" w:hAnsi="仿宋" w:eastAsia="仿宋"/>
          <w:b/>
          <w:sz w:val="32"/>
          <w:szCs w:val="32"/>
        </w:rPr>
      </w:pPr>
      <w:r>
        <w:rPr>
          <w:rFonts w:hint="eastAsia" w:ascii="仿宋" w:hAnsi="仿宋" w:eastAsia="仿宋"/>
          <w:b/>
          <w:sz w:val="32"/>
          <w:szCs w:val="32"/>
        </w:rPr>
        <w:t xml:space="preserve">第四条 </w:t>
      </w:r>
      <w:r>
        <w:rPr>
          <w:rFonts w:ascii="仿宋" w:hAnsi="仿宋" w:eastAsia="仿宋"/>
          <w:kern w:val="0"/>
          <w:sz w:val="32"/>
          <w:szCs w:val="32"/>
        </w:rPr>
        <w:t>税务师事务所及其涉税服务人员</w:t>
      </w:r>
      <w:r>
        <w:rPr>
          <w:rFonts w:hint="eastAsia" w:ascii="仿宋" w:hAnsi="仿宋" w:eastAsia="仿宋"/>
          <w:kern w:val="0"/>
          <w:sz w:val="32"/>
          <w:szCs w:val="32"/>
        </w:rPr>
        <w:t>承办企业境外投资税务风险管理咨询业务</w:t>
      </w:r>
      <w:r>
        <w:rPr>
          <w:rFonts w:ascii="仿宋" w:hAnsi="仿宋" w:eastAsia="仿宋"/>
          <w:kern w:val="0"/>
          <w:sz w:val="32"/>
          <w:szCs w:val="32"/>
        </w:rPr>
        <w:t>，</w:t>
      </w:r>
      <w:r>
        <w:rPr>
          <w:rFonts w:ascii="仿宋" w:hAnsi="仿宋" w:eastAsia="仿宋"/>
          <w:sz w:val="32"/>
          <w:szCs w:val="32"/>
        </w:rPr>
        <w:t>应当</w:t>
      </w:r>
      <w:r>
        <w:rPr>
          <w:rFonts w:hint="eastAsia" w:ascii="仿宋" w:hAnsi="仿宋" w:eastAsia="仿宋"/>
          <w:sz w:val="32"/>
          <w:szCs w:val="32"/>
        </w:rPr>
        <w:t>按照《国家税务总局关于采集涉税专业服务基本信息和业务信息有关事项的公告》（国家税务总局公告2017年第49号）、《关于进一步完善涉税专业服务监管制度有关事项的公告》（国家税务总局公告2019年第43号）的要求</w:t>
      </w:r>
      <w:r>
        <w:rPr>
          <w:rFonts w:ascii="仿宋" w:hAnsi="仿宋" w:eastAsia="仿宋"/>
          <w:sz w:val="32"/>
          <w:szCs w:val="32"/>
        </w:rPr>
        <w:t>，</w:t>
      </w:r>
      <w:r>
        <w:rPr>
          <w:rFonts w:hint="eastAsia" w:ascii="仿宋" w:hAnsi="仿宋" w:eastAsia="仿宋"/>
          <w:sz w:val="32"/>
          <w:szCs w:val="32"/>
        </w:rPr>
        <w:t>向税务机关</w:t>
      </w:r>
      <w:r>
        <w:rPr>
          <w:rFonts w:ascii="仿宋" w:hAnsi="仿宋" w:eastAsia="仿宋"/>
          <w:sz w:val="32"/>
          <w:szCs w:val="32"/>
        </w:rPr>
        <w:t>报送《涉税专业服务机构（人员）基本信息采集表》</w:t>
      </w:r>
      <w:r>
        <w:rPr>
          <w:rFonts w:hint="eastAsia" w:ascii="仿宋" w:hAnsi="仿宋" w:eastAsia="仿宋"/>
          <w:sz w:val="32"/>
          <w:szCs w:val="32"/>
        </w:rPr>
        <w:t>和其他相关</w:t>
      </w:r>
      <w:r>
        <w:rPr>
          <w:rFonts w:ascii="仿宋" w:hAnsi="仿宋" w:eastAsia="仿宋"/>
          <w:sz w:val="32"/>
          <w:szCs w:val="32"/>
        </w:rPr>
        <w:t>信息</w:t>
      </w:r>
      <w:r>
        <w:rPr>
          <w:rFonts w:hint="eastAsia" w:ascii="仿宋" w:hAnsi="仿宋" w:eastAsia="仿宋"/>
          <w:sz w:val="32"/>
          <w:szCs w:val="32"/>
        </w:rPr>
        <w:t>。</w:t>
      </w:r>
    </w:p>
    <w:p>
      <w:pPr>
        <w:snapToGrid w:val="0"/>
        <w:spacing w:line="360" w:lineRule="auto"/>
        <w:ind w:firstLine="643" w:firstLineChars="200"/>
        <w:rPr>
          <w:rFonts w:ascii="仿宋" w:hAnsi="仿宋" w:eastAsia="仿宋"/>
          <w:b/>
          <w:sz w:val="32"/>
          <w:szCs w:val="32"/>
        </w:rPr>
      </w:pPr>
      <w:r>
        <w:rPr>
          <w:rFonts w:hint="eastAsia" w:ascii="仿宋" w:hAnsi="仿宋" w:eastAsia="仿宋"/>
          <w:b/>
          <w:kern w:val="0"/>
          <w:sz w:val="32"/>
          <w:szCs w:val="32"/>
        </w:rPr>
        <w:t xml:space="preserve">第五条 </w:t>
      </w:r>
      <w:r>
        <w:rPr>
          <w:rFonts w:hint="eastAsia" w:ascii="仿宋" w:hAnsi="仿宋" w:eastAsia="仿宋"/>
          <w:sz w:val="32"/>
          <w:szCs w:val="32"/>
        </w:rPr>
        <w:t>税务师事务所及其涉税服务人员提供企业境外投资税务风险管理咨询服务，实行信任保护原则。存在以下情形之一的，税务师事务所及其涉税服务人员有权终止业务：</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（一）委托人违反法律、法规及相关规定的；</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 xml:space="preserve">（二）委托人提供不真实、不完整资料信息的； </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 xml:space="preserve">（三）委托人要求违反本指引第三条的； </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（四）其他因委托人原因限制业务实施的情形。</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如已完成部分约定业务，应当按照协议约定收取费用，并就已完成事项进行免责性声明，由委托人承担相应责任，税务师事务所及其涉税服务人员不承担该部分责任。</w:t>
      </w:r>
    </w:p>
    <w:p>
      <w:pPr>
        <w:snapToGrid w:val="0"/>
        <w:spacing w:line="360" w:lineRule="auto"/>
        <w:ind w:firstLine="643" w:firstLineChars="200"/>
        <w:rPr>
          <w:rFonts w:ascii="仿宋" w:hAnsi="仿宋" w:eastAsia="仿宋"/>
          <w:b/>
          <w:sz w:val="32"/>
          <w:szCs w:val="32"/>
        </w:rPr>
      </w:pPr>
      <w:r>
        <w:rPr>
          <w:rFonts w:hint="eastAsia" w:ascii="仿宋" w:hAnsi="仿宋" w:eastAsia="仿宋"/>
          <w:b/>
          <w:sz w:val="32"/>
          <w:szCs w:val="32"/>
        </w:rPr>
        <w:t xml:space="preserve">第六条 </w:t>
      </w:r>
      <w:r>
        <w:rPr>
          <w:rFonts w:hint="eastAsia" w:ascii="仿宋" w:hAnsi="仿宋" w:eastAsia="仿宋"/>
          <w:sz w:val="32"/>
          <w:szCs w:val="32"/>
        </w:rPr>
        <w:t>税务师事务所及其涉税服务人员提供企业境外投资税务风险管理咨询服务，应当遵循《税务师行业职业道德指引（试行）》的有关规定。</w:t>
      </w:r>
    </w:p>
    <w:p>
      <w:pPr>
        <w:snapToGrid w:val="0"/>
        <w:spacing w:line="360" w:lineRule="auto"/>
        <w:ind w:firstLine="643" w:firstLineChars="200"/>
        <w:rPr>
          <w:rFonts w:ascii="仿宋" w:hAnsi="仿宋" w:eastAsia="仿宋"/>
          <w:kern w:val="0"/>
          <w:sz w:val="32"/>
          <w:szCs w:val="32"/>
        </w:rPr>
      </w:pPr>
      <w:r>
        <w:rPr>
          <w:rFonts w:hint="eastAsia" w:ascii="仿宋" w:hAnsi="仿宋" w:eastAsia="仿宋"/>
          <w:b/>
          <w:kern w:val="0"/>
          <w:sz w:val="32"/>
          <w:szCs w:val="32"/>
        </w:rPr>
        <w:t xml:space="preserve">第七条 </w:t>
      </w:r>
      <w:r>
        <w:rPr>
          <w:rFonts w:hint="eastAsia" w:ascii="仿宋" w:hAnsi="仿宋" w:eastAsia="仿宋"/>
          <w:sz w:val="32"/>
          <w:szCs w:val="32"/>
        </w:rPr>
        <w:t>税务师事务所及其涉税服务人员提供企业境外投资税务风险管理咨询服务，应当遵循《税务师行业质量控制指引（试行）》的有关规定，</w:t>
      </w:r>
      <w:r>
        <w:rPr>
          <w:rFonts w:hint="eastAsia" w:ascii="仿宋" w:hAnsi="仿宋" w:eastAsia="仿宋"/>
          <w:kern w:val="0"/>
          <w:sz w:val="32"/>
          <w:szCs w:val="32"/>
        </w:rPr>
        <w:t>在</w:t>
      </w:r>
      <w:r>
        <w:rPr>
          <w:rFonts w:ascii="仿宋" w:hAnsi="仿宋" w:eastAsia="仿宋"/>
          <w:kern w:val="0"/>
          <w:sz w:val="32"/>
          <w:szCs w:val="32"/>
        </w:rPr>
        <w:t>业务承接、</w:t>
      </w:r>
      <w:r>
        <w:rPr>
          <w:rFonts w:hint="eastAsia" w:ascii="仿宋" w:hAnsi="仿宋" w:eastAsia="仿宋"/>
          <w:kern w:val="0"/>
          <w:sz w:val="32"/>
          <w:szCs w:val="32"/>
        </w:rPr>
        <w:t>业务委派、业务计划、</w:t>
      </w:r>
      <w:r>
        <w:rPr>
          <w:rFonts w:ascii="仿宋" w:hAnsi="仿宋" w:eastAsia="仿宋"/>
          <w:kern w:val="0"/>
          <w:sz w:val="32"/>
          <w:szCs w:val="32"/>
        </w:rPr>
        <w:t>业务实施、</w:t>
      </w:r>
      <w:r>
        <w:rPr>
          <w:rFonts w:hint="eastAsia" w:ascii="仿宋" w:hAnsi="仿宋" w:eastAsia="仿宋"/>
          <w:kern w:val="0"/>
          <w:sz w:val="32"/>
          <w:szCs w:val="32"/>
        </w:rPr>
        <w:t>业务成</w:t>
      </w:r>
      <w:r>
        <w:rPr>
          <w:rFonts w:ascii="仿宋" w:hAnsi="仿宋" w:eastAsia="仿宋"/>
          <w:kern w:val="0"/>
          <w:sz w:val="32"/>
          <w:szCs w:val="32"/>
        </w:rPr>
        <w:t>果</w:t>
      </w:r>
      <w:r>
        <w:rPr>
          <w:rFonts w:hint="eastAsia" w:ascii="仿宋" w:hAnsi="仿宋" w:eastAsia="仿宋"/>
          <w:kern w:val="0"/>
          <w:sz w:val="32"/>
          <w:szCs w:val="32"/>
        </w:rPr>
        <w:t>递交、业务记录归档</w:t>
      </w:r>
      <w:r>
        <w:rPr>
          <w:rFonts w:ascii="仿宋" w:hAnsi="仿宋" w:eastAsia="仿宋"/>
          <w:kern w:val="0"/>
          <w:sz w:val="32"/>
          <w:szCs w:val="32"/>
        </w:rPr>
        <w:t>等</w:t>
      </w:r>
      <w:r>
        <w:rPr>
          <w:rFonts w:hint="eastAsia" w:ascii="仿宋" w:hAnsi="仿宋" w:eastAsia="仿宋"/>
          <w:sz w:val="32"/>
          <w:szCs w:val="32"/>
        </w:rPr>
        <w:t>服务</w:t>
      </w:r>
      <w:r>
        <w:rPr>
          <w:rFonts w:ascii="仿宋" w:hAnsi="仿宋" w:eastAsia="仿宋"/>
          <w:kern w:val="0"/>
          <w:sz w:val="32"/>
          <w:szCs w:val="32"/>
        </w:rPr>
        <w:t>各阶段，</w:t>
      </w:r>
      <w:r>
        <w:rPr>
          <w:rFonts w:hint="eastAsia" w:ascii="仿宋" w:hAnsi="仿宋" w:eastAsia="仿宋"/>
          <w:kern w:val="0"/>
          <w:sz w:val="32"/>
          <w:szCs w:val="32"/>
        </w:rPr>
        <w:t>充分考虑</w:t>
      </w:r>
      <w:r>
        <w:rPr>
          <w:rFonts w:ascii="仿宋" w:hAnsi="仿宋" w:eastAsia="仿宋"/>
          <w:kern w:val="0"/>
          <w:sz w:val="32"/>
          <w:szCs w:val="32"/>
        </w:rPr>
        <w:t>对执业风险的影响因素，使执业风险降低到可以接受的程度。</w:t>
      </w:r>
    </w:p>
    <w:p>
      <w:pPr>
        <w:pStyle w:val="3"/>
        <w:snapToGrid w:val="0"/>
        <w:spacing w:before="0" w:after="0" w:line="360" w:lineRule="auto"/>
      </w:pPr>
      <w:bookmarkStart w:id="10" w:name="_Toc14101233"/>
      <w:bookmarkStart w:id="11" w:name="_Toc14162815"/>
      <w:bookmarkStart w:id="12" w:name="_Toc14101499"/>
      <w:r>
        <w:rPr>
          <w:rFonts w:hint="eastAsia"/>
        </w:rPr>
        <w:t>第二章 业务定义与目标</w:t>
      </w:r>
      <w:bookmarkEnd w:id="10"/>
      <w:bookmarkEnd w:id="11"/>
      <w:bookmarkEnd w:id="12"/>
    </w:p>
    <w:p>
      <w:pPr>
        <w:snapToGrid w:val="0"/>
        <w:spacing w:line="360" w:lineRule="auto"/>
        <w:ind w:firstLine="643" w:firstLineChars="200"/>
        <w:rPr>
          <w:rStyle w:val="15"/>
          <w:rFonts w:ascii="仿宋" w:hAnsi="仿宋" w:eastAsia="仿宋" w:cstheme="majorBidi"/>
          <w:b/>
          <w:bCs/>
        </w:rPr>
      </w:pPr>
      <w:r>
        <w:rPr>
          <w:rFonts w:ascii="仿宋" w:hAnsi="仿宋" w:eastAsia="仿宋"/>
          <w:b/>
          <w:kern w:val="0"/>
          <w:sz w:val="32"/>
          <w:szCs w:val="32"/>
        </w:rPr>
        <w:t>第</w:t>
      </w:r>
      <w:r>
        <w:rPr>
          <w:rFonts w:hint="eastAsia" w:ascii="仿宋" w:hAnsi="仿宋" w:eastAsia="仿宋"/>
          <w:b/>
          <w:kern w:val="0"/>
          <w:sz w:val="32"/>
          <w:szCs w:val="32"/>
        </w:rPr>
        <w:t>八</w:t>
      </w:r>
      <w:r>
        <w:rPr>
          <w:rFonts w:ascii="仿宋" w:hAnsi="仿宋" w:eastAsia="仿宋"/>
          <w:b/>
          <w:kern w:val="0"/>
          <w:sz w:val="32"/>
          <w:szCs w:val="32"/>
        </w:rPr>
        <w:t>条</w:t>
      </w:r>
      <w:r>
        <w:rPr>
          <w:rFonts w:hint="eastAsia" w:ascii="仿宋" w:hAnsi="仿宋" w:eastAsia="仿宋"/>
          <w:kern w:val="0"/>
          <w:sz w:val="32"/>
          <w:szCs w:val="32"/>
        </w:rPr>
        <w:t xml:space="preserve"> 本指引所称</w:t>
      </w:r>
      <w:r>
        <w:rPr>
          <w:rFonts w:hint="eastAsia" w:ascii="仿宋" w:hAnsi="仿宋" w:eastAsia="仿宋"/>
          <w:sz w:val="32"/>
          <w:szCs w:val="32"/>
        </w:rPr>
        <w:t>企业境外投资税务风险管理咨询业务是指税务师事务所依法接受委托，对企业境外投资相关的税务</w:t>
      </w:r>
      <w:r>
        <w:rPr>
          <w:rFonts w:ascii="仿宋" w:hAnsi="仿宋" w:eastAsia="仿宋"/>
          <w:color w:val="000000"/>
          <w:sz w:val="32"/>
          <w:szCs w:val="32"/>
        </w:rPr>
        <w:t>风险进行评价</w:t>
      </w:r>
      <w:r>
        <w:rPr>
          <w:rFonts w:hint="eastAsia" w:ascii="仿宋" w:hAnsi="仿宋" w:eastAsia="仿宋"/>
          <w:color w:val="000000"/>
          <w:sz w:val="32"/>
          <w:szCs w:val="32"/>
        </w:rPr>
        <w:t>并针对税务风险</w:t>
      </w:r>
      <w:r>
        <w:rPr>
          <w:rFonts w:ascii="仿宋" w:hAnsi="仿宋" w:eastAsia="仿宋"/>
          <w:color w:val="000000"/>
          <w:sz w:val="32"/>
          <w:szCs w:val="32"/>
        </w:rPr>
        <w:t>管理</w:t>
      </w:r>
      <w:r>
        <w:rPr>
          <w:rFonts w:hint="eastAsia" w:ascii="仿宋" w:hAnsi="仿宋" w:eastAsia="仿宋"/>
          <w:color w:val="000000"/>
          <w:sz w:val="32"/>
          <w:szCs w:val="32"/>
        </w:rPr>
        <w:t>措施提供咨询意见的</w:t>
      </w:r>
      <w:r>
        <w:rPr>
          <w:rFonts w:ascii="仿宋" w:hAnsi="仿宋" w:eastAsia="仿宋"/>
          <w:color w:val="000000"/>
          <w:sz w:val="32"/>
          <w:szCs w:val="32"/>
        </w:rPr>
        <w:t>服务行为</w:t>
      </w:r>
      <w:r>
        <w:rPr>
          <w:rFonts w:hint="eastAsia" w:ascii="仿宋" w:hAnsi="仿宋" w:eastAsia="仿宋"/>
          <w:kern w:val="0"/>
          <w:sz w:val="32"/>
          <w:szCs w:val="32"/>
        </w:rPr>
        <w:t>。上述所称的“境外投资税务风险”是指在中国大陆以外区域从事投资活动所涉及的税务风险。</w:t>
      </w:r>
    </w:p>
    <w:p>
      <w:pPr>
        <w:snapToGrid w:val="0"/>
        <w:spacing w:line="360" w:lineRule="auto"/>
        <w:ind w:firstLine="640" w:firstLineChars="200"/>
        <w:rPr>
          <w:rFonts w:ascii="仿宋" w:hAnsi="仿宋" w:eastAsia="仿宋"/>
          <w:kern w:val="0"/>
          <w:sz w:val="32"/>
          <w:szCs w:val="32"/>
        </w:rPr>
      </w:pPr>
      <w:r>
        <w:rPr>
          <w:rFonts w:hint="eastAsia" w:ascii="仿宋" w:hAnsi="仿宋" w:eastAsia="仿宋"/>
          <w:sz w:val="32"/>
          <w:szCs w:val="32"/>
        </w:rPr>
        <w:t>企业境外投资税务风险管理通常涉及多个不同税收管辖区域的税收法律法规及税务管理实践，包括中国大陆和中国大陆以外区域，税务师事务所及其涉税服务人员的服务过程和服务成果应全面并客观考虑不同税收管辖区域的税收法律法规和实践要求。</w:t>
      </w:r>
    </w:p>
    <w:p>
      <w:pPr>
        <w:snapToGrid w:val="0"/>
        <w:spacing w:line="360" w:lineRule="auto"/>
        <w:ind w:firstLine="643" w:firstLineChars="200"/>
        <w:rPr>
          <w:rFonts w:ascii="仿宋" w:hAnsi="仿宋" w:eastAsia="仿宋"/>
          <w:sz w:val="32"/>
          <w:szCs w:val="32"/>
        </w:rPr>
      </w:pPr>
      <w:r>
        <w:rPr>
          <w:rFonts w:hint="eastAsia" w:ascii="仿宋" w:hAnsi="仿宋" w:eastAsia="仿宋"/>
          <w:b/>
          <w:kern w:val="0"/>
          <w:sz w:val="32"/>
          <w:szCs w:val="32"/>
        </w:rPr>
        <w:t>第九条</w:t>
      </w:r>
      <w:r>
        <w:rPr>
          <w:rFonts w:ascii="仿宋" w:hAnsi="仿宋" w:eastAsia="仿宋"/>
          <w:b/>
          <w:kern w:val="0"/>
          <w:sz w:val="32"/>
          <w:szCs w:val="32"/>
        </w:rPr>
        <w:t xml:space="preserve"> </w:t>
      </w:r>
      <w:r>
        <w:rPr>
          <w:rFonts w:hint="eastAsia" w:ascii="仿宋" w:hAnsi="仿宋" w:eastAsia="仿宋"/>
          <w:kern w:val="0"/>
          <w:sz w:val="32"/>
          <w:szCs w:val="32"/>
        </w:rPr>
        <w:t>税务师事务所及其涉税服务人员承办</w:t>
      </w:r>
      <w:r>
        <w:rPr>
          <w:rFonts w:hint="eastAsia" w:ascii="仿宋" w:hAnsi="仿宋" w:eastAsia="仿宋"/>
          <w:sz w:val="32"/>
          <w:szCs w:val="32"/>
        </w:rPr>
        <w:t>企业境外投资税务风险管理咨询业务，从中国大陆税法的角度应重点关注以下方面的税务风险：</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（一）被认定为中国税收居民企业；</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（二）被认定为受控外国企业；</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（三）税收协定适用；</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（四）关联交易转让定价调整；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（五）境外税收抵免处理；</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（六）派遣员工的个人所得税;</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（七）一般反避税规则的适用。</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除中国大陆税法以外，税务</w:t>
      </w:r>
      <w:r>
        <w:rPr>
          <w:rFonts w:hint="eastAsia" w:ascii="仿宋" w:hAnsi="仿宋" w:eastAsia="仿宋"/>
          <w:kern w:val="0"/>
          <w:sz w:val="32"/>
          <w:szCs w:val="32"/>
        </w:rPr>
        <w:t>师事务所及其涉税服务人员承办</w:t>
      </w:r>
      <w:r>
        <w:rPr>
          <w:rFonts w:hint="eastAsia" w:ascii="仿宋" w:hAnsi="仿宋" w:eastAsia="仿宋"/>
          <w:sz w:val="32"/>
          <w:szCs w:val="32"/>
        </w:rPr>
        <w:t>企业境外投资税务风险管理咨询业务时，还应搜集并了解境外投资涉及的中国大陆以外其它特定税收管辖区域的基本税收信息，梳理委托人在中国大陆以外税收管辖区域的税法遵从事项，了解双边税收协定及税收争议解决机制，关注委托人及其境外投资项目在中国大陆以外税收管辖区域潜在的重点税收风险，动态把握中国大陆以外区域税收政策变化，协助委托人防控境外投资项目在中国大陆以外税收管辖区域的税收风险，提高境外投资项目在所有涉及的税收管辖区域的全面税务合规性。</w:t>
      </w:r>
    </w:p>
    <w:p>
      <w:pPr>
        <w:snapToGrid w:val="0"/>
        <w:spacing w:line="360" w:lineRule="auto"/>
        <w:ind w:firstLine="643" w:firstLineChars="200"/>
        <w:rPr>
          <w:rFonts w:ascii="仿宋" w:hAnsi="仿宋" w:eastAsia="仿宋"/>
          <w:kern w:val="0"/>
          <w:sz w:val="32"/>
          <w:szCs w:val="32"/>
        </w:rPr>
      </w:pPr>
      <w:r>
        <w:rPr>
          <w:rFonts w:hint="eastAsia" w:ascii="仿宋" w:hAnsi="仿宋" w:eastAsia="仿宋"/>
          <w:b/>
          <w:sz w:val="32"/>
          <w:szCs w:val="32"/>
        </w:rPr>
        <w:t>第十条</w:t>
      </w:r>
      <w:r>
        <w:rPr>
          <w:rFonts w:ascii="仿宋" w:hAnsi="仿宋" w:eastAsia="仿宋"/>
          <w:b/>
          <w:kern w:val="0"/>
          <w:sz w:val="32"/>
          <w:szCs w:val="32"/>
        </w:rPr>
        <w:t xml:space="preserve"> </w:t>
      </w:r>
      <w:r>
        <w:rPr>
          <w:rFonts w:hint="eastAsia" w:ascii="仿宋" w:hAnsi="仿宋" w:eastAsia="仿宋"/>
          <w:sz w:val="32"/>
          <w:szCs w:val="32"/>
        </w:rPr>
        <w:t>企业境外投资税务风险管理咨询</w:t>
      </w:r>
      <w:r>
        <w:rPr>
          <w:rFonts w:hint="eastAsia" w:ascii="仿宋" w:hAnsi="仿宋" w:eastAsia="仿宋"/>
          <w:kern w:val="0"/>
          <w:sz w:val="32"/>
          <w:szCs w:val="32"/>
        </w:rPr>
        <w:t>业务流程包括了解业务目标、制定业务计划、收集项目资料、确定法律依据、测算数据结果、制定策划方案、方案综合辩证分析。</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根据承接业务的简易程度，可以选择仅执行部分程序，但需保证已执行程序足以支撑方案制定以及结论。</w:t>
      </w:r>
    </w:p>
    <w:p>
      <w:pPr>
        <w:pStyle w:val="3"/>
        <w:snapToGrid w:val="0"/>
        <w:spacing w:before="0" w:after="0" w:line="360" w:lineRule="auto"/>
      </w:pPr>
      <w:bookmarkStart w:id="13" w:name="_Toc14162816"/>
      <w:bookmarkStart w:id="14" w:name="_Toc14101500"/>
      <w:bookmarkStart w:id="15" w:name="_Toc14101234"/>
      <w:r>
        <w:rPr>
          <w:rFonts w:hint="eastAsia"/>
        </w:rPr>
        <w:t>第三章 业务承接</w:t>
      </w:r>
      <w:bookmarkEnd w:id="13"/>
      <w:bookmarkEnd w:id="14"/>
      <w:bookmarkEnd w:id="15"/>
      <w:r>
        <w:rPr>
          <w:rFonts w:hint="eastAsia"/>
        </w:rPr>
        <w:t>与委派</w:t>
      </w:r>
    </w:p>
    <w:p>
      <w:pPr>
        <w:widowControl/>
        <w:shd w:val="clear" w:color="auto" w:fill="FFFFFF"/>
        <w:snapToGrid w:val="0"/>
        <w:spacing w:line="360" w:lineRule="auto"/>
        <w:ind w:firstLine="643" w:firstLineChars="200"/>
        <w:rPr>
          <w:rFonts w:ascii="仿宋" w:hAnsi="仿宋" w:eastAsia="仿宋"/>
          <w:kern w:val="0"/>
          <w:sz w:val="32"/>
          <w:szCs w:val="32"/>
        </w:rPr>
      </w:pPr>
      <w:r>
        <w:rPr>
          <w:rFonts w:ascii="仿宋" w:hAnsi="仿宋" w:eastAsia="仿宋"/>
          <w:b/>
          <w:kern w:val="0"/>
          <w:sz w:val="32"/>
          <w:szCs w:val="32"/>
        </w:rPr>
        <w:t>第</w:t>
      </w:r>
      <w:r>
        <w:rPr>
          <w:rFonts w:hint="eastAsia" w:ascii="仿宋" w:hAnsi="仿宋" w:eastAsia="仿宋"/>
          <w:b/>
          <w:kern w:val="0"/>
          <w:sz w:val="32"/>
          <w:szCs w:val="32"/>
        </w:rPr>
        <w:t>十一</w:t>
      </w:r>
      <w:r>
        <w:rPr>
          <w:rFonts w:ascii="仿宋" w:hAnsi="仿宋" w:eastAsia="仿宋"/>
          <w:b/>
          <w:kern w:val="0"/>
          <w:sz w:val="32"/>
          <w:szCs w:val="32"/>
        </w:rPr>
        <w:t xml:space="preserve">条 </w:t>
      </w:r>
      <w:r>
        <w:rPr>
          <w:rFonts w:hint="eastAsia" w:ascii="仿宋" w:hAnsi="仿宋" w:eastAsia="仿宋"/>
          <w:sz w:val="32"/>
          <w:szCs w:val="32"/>
        </w:rPr>
        <w:t>税务师事务所</w:t>
      </w:r>
      <w:r>
        <w:rPr>
          <w:rFonts w:ascii="仿宋" w:hAnsi="仿宋" w:eastAsia="仿宋"/>
          <w:kern w:val="0"/>
          <w:sz w:val="32"/>
          <w:szCs w:val="32"/>
        </w:rPr>
        <w:t>应当指派能够胜任</w:t>
      </w:r>
      <w:r>
        <w:rPr>
          <w:rFonts w:hint="eastAsia" w:ascii="仿宋" w:hAnsi="仿宋" w:eastAsia="仿宋"/>
          <w:kern w:val="0"/>
          <w:sz w:val="32"/>
          <w:szCs w:val="32"/>
        </w:rPr>
        <w:t>企业境外投资税务风险管理咨询业务</w:t>
      </w:r>
      <w:r>
        <w:rPr>
          <w:rFonts w:ascii="仿宋" w:hAnsi="仿宋" w:eastAsia="仿宋"/>
          <w:kern w:val="0"/>
          <w:sz w:val="32"/>
          <w:szCs w:val="32"/>
        </w:rPr>
        <w:t>的涉税服务人员作为项目负责人。</w:t>
      </w:r>
      <w:r>
        <w:rPr>
          <w:rFonts w:hint="eastAsia" w:ascii="仿宋" w:hAnsi="仿宋" w:eastAsia="仿宋"/>
          <w:sz w:val="32"/>
          <w:szCs w:val="32"/>
        </w:rPr>
        <w:t>税务师事务所</w:t>
      </w:r>
      <w:r>
        <w:rPr>
          <w:rFonts w:hint="eastAsia" w:ascii="仿宋" w:hAnsi="仿宋" w:eastAsia="仿宋"/>
          <w:kern w:val="0"/>
          <w:sz w:val="32"/>
          <w:szCs w:val="32"/>
        </w:rPr>
        <w:t>在</w:t>
      </w:r>
      <w:r>
        <w:rPr>
          <w:rFonts w:ascii="仿宋" w:hAnsi="仿宋" w:eastAsia="仿宋"/>
          <w:kern w:val="0"/>
          <w:sz w:val="32"/>
          <w:szCs w:val="32"/>
        </w:rPr>
        <w:t>选定项目负责人</w:t>
      </w:r>
      <w:r>
        <w:rPr>
          <w:rFonts w:hint="eastAsia" w:ascii="仿宋" w:hAnsi="仿宋" w:eastAsia="仿宋"/>
          <w:kern w:val="0"/>
          <w:sz w:val="32"/>
          <w:szCs w:val="32"/>
        </w:rPr>
        <w:t>时，应重点关注其在境外投资税务咨询方面的专长</w:t>
      </w:r>
      <w:r>
        <w:rPr>
          <w:rFonts w:ascii="仿宋" w:hAnsi="仿宋" w:eastAsia="仿宋"/>
          <w:kern w:val="0"/>
          <w:sz w:val="32"/>
          <w:szCs w:val="32"/>
        </w:rPr>
        <w:t>、</w:t>
      </w:r>
      <w:r>
        <w:rPr>
          <w:rFonts w:hint="eastAsia" w:ascii="仿宋" w:hAnsi="仿宋" w:eastAsia="仿宋"/>
          <w:kern w:val="0"/>
          <w:sz w:val="32"/>
          <w:szCs w:val="32"/>
        </w:rPr>
        <w:t>类似</w:t>
      </w:r>
      <w:r>
        <w:rPr>
          <w:rFonts w:ascii="仿宋" w:hAnsi="仿宋" w:eastAsia="仿宋"/>
          <w:kern w:val="0"/>
          <w:sz w:val="32"/>
          <w:szCs w:val="32"/>
        </w:rPr>
        <w:t>项目</w:t>
      </w:r>
      <w:r>
        <w:rPr>
          <w:rFonts w:hint="eastAsia" w:ascii="仿宋" w:hAnsi="仿宋" w:eastAsia="仿宋"/>
          <w:kern w:val="0"/>
          <w:sz w:val="32"/>
          <w:szCs w:val="32"/>
        </w:rPr>
        <w:t>经验以及</w:t>
      </w:r>
      <w:r>
        <w:rPr>
          <w:rFonts w:ascii="仿宋" w:hAnsi="仿宋" w:eastAsia="仿宋"/>
          <w:kern w:val="0"/>
          <w:sz w:val="32"/>
          <w:szCs w:val="32"/>
        </w:rPr>
        <w:t>独立性是否符合要求。</w:t>
      </w:r>
    </w:p>
    <w:p>
      <w:pPr>
        <w:snapToGrid w:val="0"/>
        <w:spacing w:line="360" w:lineRule="auto"/>
        <w:ind w:firstLine="630" w:firstLineChars="196"/>
        <w:rPr>
          <w:rFonts w:ascii="仿宋" w:hAnsi="仿宋" w:eastAsia="仿宋"/>
          <w:kern w:val="0"/>
          <w:sz w:val="32"/>
          <w:szCs w:val="32"/>
        </w:rPr>
      </w:pPr>
      <w:r>
        <w:rPr>
          <w:rFonts w:hint="eastAsia" w:ascii="仿宋" w:hAnsi="仿宋" w:eastAsia="仿宋"/>
          <w:b/>
          <w:kern w:val="0"/>
          <w:sz w:val="32"/>
          <w:szCs w:val="32"/>
        </w:rPr>
        <w:t>第十二条</w:t>
      </w:r>
      <w:r>
        <w:rPr>
          <w:rFonts w:ascii="仿宋" w:hAnsi="仿宋" w:eastAsia="仿宋"/>
          <w:b/>
          <w:kern w:val="0"/>
          <w:sz w:val="32"/>
          <w:szCs w:val="32"/>
        </w:rPr>
        <w:t xml:space="preserve"> </w:t>
      </w:r>
      <w:r>
        <w:rPr>
          <w:rFonts w:hint="eastAsia" w:ascii="仿宋" w:hAnsi="仿宋" w:eastAsia="仿宋"/>
          <w:sz w:val="32"/>
          <w:szCs w:val="32"/>
        </w:rPr>
        <w:t>税务师事务所</w:t>
      </w:r>
      <w:r>
        <w:rPr>
          <w:rFonts w:hint="eastAsia" w:ascii="仿宋" w:hAnsi="仿宋" w:eastAsia="仿宋"/>
          <w:kern w:val="0"/>
          <w:sz w:val="32"/>
          <w:szCs w:val="32"/>
        </w:rPr>
        <w:t>在确定是否接受和保持业务委托关系前，应当遵循</w:t>
      </w:r>
      <w:r>
        <w:rPr>
          <w:rFonts w:hint="eastAsia" w:ascii="仿宋" w:hAnsi="仿宋" w:eastAsia="仿宋"/>
          <w:sz w:val="32"/>
          <w:szCs w:val="32"/>
        </w:rPr>
        <w:t>《税务师行业涉税专业服务程序指引（试行）》</w:t>
      </w:r>
      <w:r>
        <w:rPr>
          <w:rFonts w:hint="eastAsia" w:ascii="仿宋" w:hAnsi="仿宋" w:eastAsia="仿宋"/>
          <w:kern w:val="0"/>
          <w:sz w:val="32"/>
          <w:szCs w:val="32"/>
        </w:rPr>
        <w:t>的相关规定，由项目负责人对委托人的下列情况进行了解和评估，充分评估项目风险；重大项目应由</w:t>
      </w:r>
      <w:r>
        <w:rPr>
          <w:rFonts w:hint="eastAsia" w:ascii="仿宋" w:hAnsi="仿宋" w:eastAsia="仿宋"/>
          <w:sz w:val="32"/>
          <w:szCs w:val="32"/>
        </w:rPr>
        <w:t>税务师事务所</w:t>
      </w:r>
      <w:r>
        <w:rPr>
          <w:rFonts w:hint="eastAsia" w:ascii="仿宋" w:hAnsi="仿宋" w:eastAsia="仿宋"/>
          <w:kern w:val="0"/>
          <w:sz w:val="32"/>
          <w:szCs w:val="32"/>
        </w:rPr>
        <w:t>主要业务负责人对项目负责人的评估情况进行评价和决策。</w:t>
      </w:r>
      <w:r>
        <w:rPr>
          <w:rFonts w:ascii="仿宋" w:hAnsi="仿宋" w:eastAsia="仿宋"/>
          <w:kern w:val="0"/>
          <w:sz w:val="32"/>
          <w:szCs w:val="32"/>
        </w:rPr>
        <w:t xml:space="preserve"> </w:t>
      </w:r>
      <w:r>
        <w:rPr>
          <w:rFonts w:hint="eastAsia" w:ascii="仿宋" w:hAnsi="仿宋" w:eastAsia="仿宋"/>
          <w:kern w:val="0"/>
          <w:sz w:val="32"/>
          <w:szCs w:val="32"/>
        </w:rPr>
        <w:t>税务师事务所应根据项目具体情况（如项目拟投资金额、所涉国家数量、所涉税务事项复杂程度等因素）判断拟承接项目是否属于“重大项目”。除</w:t>
      </w:r>
      <w:r>
        <w:rPr>
          <w:rFonts w:ascii="仿宋" w:hAnsi="仿宋" w:eastAsia="仿宋"/>
          <w:kern w:val="0"/>
          <w:sz w:val="32"/>
          <w:szCs w:val="32"/>
        </w:rPr>
        <w:t>《</w:t>
      </w:r>
      <w:r>
        <w:rPr>
          <w:rFonts w:hint="eastAsia" w:ascii="仿宋" w:hAnsi="仿宋" w:eastAsia="仿宋"/>
          <w:kern w:val="0"/>
          <w:sz w:val="32"/>
          <w:szCs w:val="32"/>
        </w:rPr>
        <w:t>税务师行业涉税专业服务程序指引（试行）</w:t>
      </w:r>
      <w:r>
        <w:rPr>
          <w:rFonts w:ascii="仿宋" w:hAnsi="仿宋" w:eastAsia="仿宋"/>
          <w:kern w:val="0"/>
          <w:sz w:val="32"/>
          <w:szCs w:val="32"/>
        </w:rPr>
        <w:t>》</w:t>
      </w:r>
      <w:r>
        <w:rPr>
          <w:rFonts w:hint="eastAsia" w:ascii="仿宋" w:hAnsi="仿宋" w:eastAsia="仿宋"/>
          <w:kern w:val="0"/>
          <w:sz w:val="32"/>
          <w:szCs w:val="32"/>
        </w:rPr>
        <w:t>规定的基本事项外，还应重点关注委托人拟议或现有境外投资情况。</w:t>
      </w:r>
    </w:p>
    <w:p>
      <w:pPr>
        <w:snapToGrid w:val="0"/>
        <w:spacing w:line="360" w:lineRule="auto"/>
        <w:ind w:firstLine="643" w:firstLineChars="200"/>
        <w:rPr>
          <w:rFonts w:ascii="仿宋" w:hAnsi="仿宋" w:eastAsia="仿宋" w:cs="仿宋_GB2312"/>
          <w:sz w:val="32"/>
          <w:szCs w:val="32"/>
        </w:rPr>
      </w:pPr>
      <w:r>
        <w:rPr>
          <w:rFonts w:hint="eastAsia" w:ascii="仿宋" w:hAnsi="仿宋" w:eastAsia="仿宋"/>
          <w:b/>
          <w:kern w:val="0"/>
          <w:sz w:val="32"/>
          <w:szCs w:val="32"/>
        </w:rPr>
        <w:t xml:space="preserve">第十三条 </w:t>
      </w:r>
      <w:r>
        <w:rPr>
          <w:rFonts w:hint="eastAsia" w:ascii="仿宋" w:hAnsi="仿宋" w:eastAsia="仿宋"/>
          <w:kern w:val="0"/>
          <w:sz w:val="32"/>
          <w:szCs w:val="32"/>
        </w:rPr>
        <w:t>若服务范围涉及境外国家或地区的税收法律法规及税务实践，</w:t>
      </w:r>
      <w:r>
        <w:rPr>
          <w:rFonts w:hint="eastAsia" w:ascii="仿宋" w:hAnsi="仿宋" w:eastAsia="仿宋"/>
          <w:sz w:val="32"/>
          <w:szCs w:val="32"/>
        </w:rPr>
        <w:t>税务师事务所</w:t>
      </w:r>
      <w:r>
        <w:rPr>
          <w:rFonts w:hint="eastAsia" w:ascii="仿宋" w:hAnsi="仿宋" w:eastAsia="仿宋"/>
          <w:kern w:val="0"/>
          <w:sz w:val="32"/>
          <w:szCs w:val="32"/>
        </w:rPr>
        <w:t>应评估提供跨境税务咨询业务相关的执业风险，着重评估提供涉及中国大陆以外税收管辖区域有关税务咨询服务的执业能力和法定执业资质要求，并据此确定是否</w:t>
      </w:r>
      <w:r>
        <w:rPr>
          <w:rFonts w:hint="eastAsia" w:ascii="仿宋" w:hAnsi="仿宋" w:eastAsia="仿宋"/>
          <w:sz w:val="32"/>
          <w:szCs w:val="32"/>
        </w:rPr>
        <w:t>需要请求本所外部具有提供</w:t>
      </w:r>
      <w:r>
        <w:rPr>
          <w:rFonts w:hint="eastAsia" w:ascii="仿宋" w:hAnsi="仿宋" w:eastAsia="仿宋"/>
          <w:kern w:val="0"/>
          <w:sz w:val="32"/>
          <w:szCs w:val="32"/>
        </w:rPr>
        <w:t>中国大陆以外税收管辖区域</w:t>
      </w:r>
      <w:r>
        <w:rPr>
          <w:rFonts w:hint="eastAsia" w:ascii="仿宋" w:hAnsi="仿宋" w:eastAsia="仿宋"/>
          <w:sz w:val="32"/>
          <w:szCs w:val="32"/>
        </w:rPr>
        <w:t>税务咨询服务经验和资质的专家团队协助工作（“境外专家团队”）。项目负责人应当对境外专家团队工作成果负责。</w:t>
      </w:r>
    </w:p>
    <w:p>
      <w:pPr>
        <w:autoSpaceDE w:val="0"/>
        <w:autoSpaceDN w:val="0"/>
        <w:adjustRightInd w:val="0"/>
        <w:snapToGrid w:val="0"/>
        <w:spacing w:line="360" w:lineRule="auto"/>
        <w:ind w:right="13" w:firstLine="646" w:firstLineChars="202"/>
        <w:rPr>
          <w:rFonts w:ascii="仿宋" w:hAnsi="仿宋" w:eastAsia="仿宋"/>
          <w:b/>
          <w:kern w:val="0"/>
          <w:sz w:val="32"/>
          <w:szCs w:val="32"/>
        </w:rPr>
      </w:pPr>
      <w:r>
        <w:rPr>
          <w:rFonts w:hint="eastAsia" w:ascii="仿宋" w:hAnsi="仿宋" w:eastAsia="仿宋"/>
          <w:sz w:val="32"/>
          <w:szCs w:val="32"/>
        </w:rPr>
        <w:t>税务师事务所</w:t>
      </w:r>
      <w:r>
        <w:rPr>
          <w:rFonts w:hint="eastAsia" w:ascii="仿宋" w:hAnsi="仿宋" w:eastAsia="仿宋"/>
          <w:kern w:val="0"/>
          <w:sz w:val="32"/>
          <w:szCs w:val="32"/>
        </w:rPr>
        <w:t>应当及时与境外专家团队负责人联络、沟通，确保当地团队的服务能力、时间安排、服务报价等符合委托人的要求和预期。</w:t>
      </w:r>
    </w:p>
    <w:p>
      <w:pPr>
        <w:autoSpaceDE w:val="0"/>
        <w:autoSpaceDN w:val="0"/>
        <w:adjustRightInd w:val="0"/>
        <w:snapToGrid w:val="0"/>
        <w:spacing w:line="360" w:lineRule="auto"/>
        <w:ind w:firstLine="643" w:firstLineChars="200"/>
        <w:rPr>
          <w:rFonts w:ascii="仿宋" w:hAnsi="仿宋" w:eastAsia="仿宋"/>
          <w:kern w:val="0"/>
          <w:sz w:val="32"/>
          <w:szCs w:val="32"/>
        </w:rPr>
      </w:pPr>
      <w:r>
        <w:rPr>
          <w:rFonts w:hint="eastAsia" w:ascii="仿宋" w:hAnsi="仿宋" w:eastAsia="仿宋"/>
          <w:b/>
          <w:kern w:val="0"/>
          <w:sz w:val="32"/>
          <w:szCs w:val="32"/>
        </w:rPr>
        <w:t>第十四条</w:t>
      </w:r>
      <w:r>
        <w:rPr>
          <w:rFonts w:ascii="仿宋" w:hAnsi="仿宋" w:eastAsia="仿宋"/>
          <w:b/>
          <w:kern w:val="0"/>
          <w:sz w:val="32"/>
          <w:szCs w:val="32"/>
        </w:rPr>
        <w:t xml:space="preserve"> </w:t>
      </w:r>
      <w:r>
        <w:rPr>
          <w:rFonts w:hint="eastAsia" w:ascii="仿宋" w:hAnsi="仿宋" w:eastAsia="仿宋"/>
          <w:kern w:val="0"/>
          <w:sz w:val="32"/>
          <w:szCs w:val="32"/>
        </w:rPr>
        <w:t>税务师事务所及其涉税服务人员应与委托方进行沟通，确保其已经清楚理解委托人对</w:t>
      </w:r>
      <w:r>
        <w:rPr>
          <w:rFonts w:hint="eastAsia" w:ascii="仿宋" w:hAnsi="仿宋" w:eastAsia="仿宋"/>
          <w:sz w:val="32"/>
          <w:szCs w:val="32"/>
        </w:rPr>
        <w:t>企业境外投资税务风险管理</w:t>
      </w:r>
      <w:r>
        <w:rPr>
          <w:rFonts w:hint="eastAsia" w:ascii="仿宋" w:hAnsi="仿宋" w:eastAsia="仿宋"/>
          <w:kern w:val="0"/>
          <w:sz w:val="32"/>
          <w:szCs w:val="32"/>
        </w:rPr>
        <w:t>的要求及目标，并从以下方面进行分析评估，决定是否接受委托：</w:t>
      </w:r>
    </w:p>
    <w:p>
      <w:pPr>
        <w:autoSpaceDE w:val="0"/>
        <w:autoSpaceDN w:val="0"/>
        <w:adjustRightInd w:val="0"/>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（一）委托事项是否符合国家税收政策及其他相关法律法规的相关规定；</w:t>
      </w:r>
    </w:p>
    <w:p>
      <w:pPr>
        <w:autoSpaceDE w:val="0"/>
        <w:autoSpaceDN w:val="0"/>
        <w:adjustRightInd w:val="0"/>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（二）初步分析评估</w:t>
      </w:r>
      <w:r>
        <w:rPr>
          <w:rFonts w:hint="eastAsia" w:ascii="仿宋" w:hAnsi="仿宋" w:eastAsia="仿宋"/>
          <w:sz w:val="32"/>
          <w:szCs w:val="32"/>
        </w:rPr>
        <w:t>企业境外投资税务风险管理</w:t>
      </w:r>
      <w:r>
        <w:rPr>
          <w:rFonts w:hint="eastAsia" w:ascii="仿宋" w:hAnsi="仿宋" w:eastAsia="仿宋"/>
          <w:kern w:val="0"/>
          <w:sz w:val="32"/>
          <w:szCs w:val="32"/>
        </w:rPr>
        <w:t>目标的可行性及委托人对税务师事务所及其涉税服务人员服务过程和服务成果的需求是否合理；</w:t>
      </w:r>
    </w:p>
    <w:p>
      <w:pPr>
        <w:autoSpaceDE w:val="0"/>
        <w:autoSpaceDN w:val="0"/>
        <w:adjustRightInd w:val="0"/>
        <w:snapToGrid w:val="0"/>
        <w:spacing w:line="360" w:lineRule="auto"/>
        <w:ind w:firstLine="640" w:firstLineChars="200"/>
        <w:rPr>
          <w:rFonts w:ascii="仿宋" w:hAnsi="仿宋" w:eastAsia="仿宋"/>
          <w:sz w:val="32"/>
          <w:szCs w:val="32"/>
        </w:rPr>
      </w:pPr>
      <w:r>
        <w:rPr>
          <w:rFonts w:hint="eastAsia" w:ascii="仿宋" w:hAnsi="仿宋" w:eastAsia="仿宋"/>
          <w:kern w:val="0"/>
          <w:sz w:val="32"/>
          <w:szCs w:val="32"/>
        </w:rPr>
        <w:t>（三）</w:t>
      </w:r>
      <w:r>
        <w:rPr>
          <w:rFonts w:hint="eastAsia" w:ascii="仿宋" w:hAnsi="仿宋" w:eastAsia="仿宋"/>
          <w:sz w:val="32"/>
          <w:szCs w:val="32"/>
        </w:rPr>
        <w:t>本机构是否具有相应的资质</w:t>
      </w:r>
      <w:r>
        <w:rPr>
          <w:rFonts w:ascii="仿宋" w:hAnsi="仿宋" w:eastAsia="仿宋"/>
          <w:sz w:val="32"/>
          <w:szCs w:val="32"/>
        </w:rPr>
        <w:t>及</w:t>
      </w:r>
      <w:r>
        <w:rPr>
          <w:rFonts w:hint="eastAsia" w:ascii="仿宋" w:hAnsi="仿宋" w:eastAsia="仿宋"/>
          <w:sz w:val="32"/>
          <w:szCs w:val="32"/>
        </w:rPr>
        <w:t>专业服务能力；</w:t>
      </w:r>
    </w:p>
    <w:p>
      <w:pPr>
        <w:autoSpaceDE w:val="0"/>
        <w:autoSpaceDN w:val="0"/>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（四）本机构是否可以承担相应的风险，是否能够根据服务需求和工作量安排具有胜任能力且具有资质的涉税服务人员，包括服务过程和服务成果需考虑的不同税收管辖区域的</w:t>
      </w:r>
      <w:r>
        <w:rPr>
          <w:rFonts w:hint="eastAsia" w:ascii="仿宋" w:hAnsi="仿宋" w:eastAsia="仿宋"/>
          <w:kern w:val="0"/>
          <w:sz w:val="32"/>
          <w:szCs w:val="32"/>
        </w:rPr>
        <w:t>专业服务团队</w:t>
      </w:r>
      <w:r>
        <w:rPr>
          <w:rFonts w:hint="eastAsia" w:ascii="仿宋" w:hAnsi="仿宋" w:eastAsia="仿宋"/>
          <w:sz w:val="32"/>
          <w:szCs w:val="32"/>
        </w:rPr>
        <w:t>；</w:t>
      </w:r>
    </w:p>
    <w:p>
      <w:pPr>
        <w:autoSpaceDE w:val="0"/>
        <w:autoSpaceDN w:val="0"/>
        <w:adjustRightInd w:val="0"/>
        <w:snapToGrid w:val="0"/>
        <w:spacing w:line="360" w:lineRule="auto"/>
        <w:ind w:firstLine="640" w:firstLineChars="200"/>
        <w:rPr>
          <w:rFonts w:ascii="仿宋" w:hAnsi="仿宋" w:eastAsia="仿宋"/>
          <w:sz w:val="32"/>
          <w:szCs w:val="32"/>
        </w:rPr>
      </w:pPr>
      <w:r>
        <w:rPr>
          <w:rFonts w:hint="eastAsia" w:ascii="仿宋" w:hAnsi="仿宋" w:eastAsia="仿宋"/>
          <w:kern w:val="0"/>
          <w:sz w:val="32"/>
          <w:szCs w:val="32"/>
        </w:rPr>
        <w:t>（五）</w:t>
      </w:r>
      <w:r>
        <w:rPr>
          <w:rFonts w:hint="eastAsia" w:ascii="仿宋" w:hAnsi="仿宋" w:eastAsia="仿宋"/>
          <w:sz w:val="32"/>
          <w:szCs w:val="32"/>
        </w:rPr>
        <w:t>该业务服务</w:t>
      </w:r>
      <w:r>
        <w:rPr>
          <w:rFonts w:ascii="仿宋" w:hAnsi="仿宋" w:eastAsia="仿宋"/>
          <w:sz w:val="32"/>
          <w:szCs w:val="32"/>
        </w:rPr>
        <w:t>收费</w:t>
      </w:r>
      <w:r>
        <w:rPr>
          <w:rFonts w:hint="eastAsia" w:ascii="仿宋" w:hAnsi="仿宋" w:eastAsia="仿宋"/>
          <w:sz w:val="32"/>
          <w:szCs w:val="32"/>
        </w:rPr>
        <w:t>是否</w:t>
      </w:r>
      <w:r>
        <w:rPr>
          <w:rFonts w:ascii="仿宋" w:hAnsi="仿宋" w:eastAsia="仿宋"/>
          <w:sz w:val="32"/>
          <w:szCs w:val="32"/>
        </w:rPr>
        <w:t>合理；</w:t>
      </w:r>
    </w:p>
    <w:p>
      <w:pPr>
        <w:autoSpaceDE w:val="0"/>
        <w:autoSpaceDN w:val="0"/>
        <w:adjustRightInd w:val="0"/>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 xml:space="preserve">（六）其他相关因素。 </w:t>
      </w:r>
    </w:p>
    <w:p>
      <w:pPr>
        <w:autoSpaceDE w:val="0"/>
        <w:autoSpaceDN w:val="0"/>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 xml:space="preserve">第十五条 </w:t>
      </w:r>
      <w:r>
        <w:rPr>
          <w:rFonts w:hint="eastAsia" w:ascii="仿宋" w:hAnsi="仿宋" w:eastAsia="仿宋"/>
          <w:sz w:val="32"/>
          <w:szCs w:val="32"/>
        </w:rPr>
        <w:t>税务师事务所确定承接的业务，应当遵循《税务师行业涉税专业服务程序指引（试行）》的相关规定与委托人签订</w:t>
      </w:r>
      <w:r>
        <w:rPr>
          <w:rFonts w:ascii="仿宋" w:hAnsi="仿宋" w:eastAsia="仿宋"/>
          <w:kern w:val="0"/>
          <w:sz w:val="32"/>
          <w:szCs w:val="32"/>
        </w:rPr>
        <w:t>委托协议</w:t>
      </w:r>
      <w:r>
        <w:rPr>
          <w:rFonts w:ascii="仿宋" w:hAnsi="仿宋" w:eastAsia="仿宋"/>
          <w:sz w:val="32"/>
          <w:szCs w:val="32"/>
        </w:rPr>
        <w:t>。</w:t>
      </w:r>
    </w:p>
    <w:p>
      <w:pPr>
        <w:pStyle w:val="3"/>
        <w:snapToGrid w:val="0"/>
        <w:spacing w:before="0" w:after="0" w:line="360" w:lineRule="auto"/>
      </w:pPr>
      <w:bookmarkStart w:id="16" w:name="_Toc14101236"/>
      <w:bookmarkStart w:id="17" w:name="_Toc14101502"/>
      <w:bookmarkStart w:id="18" w:name="_Toc14162818"/>
      <w:r>
        <w:rPr>
          <w:rFonts w:hint="eastAsia"/>
        </w:rPr>
        <w:t>第四章  业务计划</w:t>
      </w:r>
      <w:bookmarkEnd w:id="16"/>
      <w:bookmarkEnd w:id="17"/>
      <w:bookmarkEnd w:id="18"/>
    </w:p>
    <w:p>
      <w:pPr>
        <w:widowControl/>
        <w:shd w:val="clear" w:color="auto" w:fill="FFFFFF"/>
        <w:snapToGrid w:val="0"/>
        <w:spacing w:line="360" w:lineRule="auto"/>
        <w:ind w:firstLine="639" w:firstLineChars="199"/>
        <w:rPr>
          <w:rFonts w:ascii="仿宋" w:hAnsi="仿宋" w:eastAsia="仿宋"/>
          <w:b/>
          <w:kern w:val="0"/>
          <w:sz w:val="32"/>
          <w:szCs w:val="32"/>
        </w:rPr>
      </w:pPr>
      <w:r>
        <w:rPr>
          <w:rFonts w:hint="eastAsia" w:ascii="仿宋" w:hAnsi="仿宋" w:eastAsia="仿宋"/>
          <w:b/>
          <w:kern w:val="0"/>
          <w:sz w:val="32"/>
          <w:szCs w:val="32"/>
        </w:rPr>
        <w:t>第十六条</w:t>
      </w:r>
      <w:r>
        <w:rPr>
          <w:rFonts w:ascii="仿宋" w:hAnsi="仿宋" w:eastAsia="仿宋"/>
          <w:b/>
          <w:kern w:val="0"/>
          <w:sz w:val="32"/>
          <w:szCs w:val="32"/>
        </w:rPr>
        <w:t xml:space="preserve"> </w:t>
      </w:r>
      <w:r>
        <w:rPr>
          <w:rFonts w:hint="eastAsia" w:ascii="仿宋" w:hAnsi="仿宋" w:eastAsia="仿宋"/>
          <w:kern w:val="0"/>
          <w:sz w:val="32"/>
          <w:szCs w:val="32"/>
        </w:rPr>
        <w:t>为确保企业境外投资税务风险管理咨询业务顺利实施并保证业务质量，项目负责人应当遵循《税务师行业涉税专业服务程序指引（试行）》的相关规定，在业务实施前编制业务计划。</w:t>
      </w:r>
    </w:p>
    <w:p>
      <w:pPr>
        <w:widowControl/>
        <w:shd w:val="clear" w:color="auto" w:fill="FFFFFF"/>
        <w:snapToGrid w:val="0"/>
        <w:spacing w:line="360" w:lineRule="auto"/>
        <w:ind w:firstLine="636" w:firstLineChars="199"/>
        <w:rPr>
          <w:rFonts w:ascii="仿宋" w:hAnsi="仿宋" w:eastAsia="仿宋"/>
          <w:sz w:val="32"/>
          <w:szCs w:val="32"/>
        </w:rPr>
      </w:pPr>
      <w:r>
        <w:rPr>
          <w:rFonts w:ascii="仿宋" w:hAnsi="仿宋" w:eastAsia="仿宋"/>
          <w:kern w:val="0"/>
          <w:sz w:val="32"/>
          <w:szCs w:val="32"/>
        </w:rPr>
        <w:t>项目负责人应当根据</w:t>
      </w:r>
      <w:r>
        <w:rPr>
          <w:rFonts w:hint="eastAsia" w:ascii="仿宋" w:hAnsi="仿宋" w:eastAsia="仿宋"/>
          <w:kern w:val="0"/>
          <w:sz w:val="32"/>
          <w:szCs w:val="32"/>
        </w:rPr>
        <w:t>受托提供服务</w:t>
      </w:r>
      <w:r>
        <w:rPr>
          <w:rFonts w:ascii="仿宋" w:hAnsi="仿宋" w:eastAsia="仿宋"/>
          <w:kern w:val="0"/>
          <w:sz w:val="32"/>
          <w:szCs w:val="32"/>
        </w:rPr>
        <w:t>的复杂程度、风险状况和时间要求等情况，制定业务计划</w:t>
      </w:r>
      <w:r>
        <w:rPr>
          <w:rFonts w:hint="eastAsia" w:ascii="仿宋" w:hAnsi="仿宋" w:eastAsia="仿宋"/>
          <w:kern w:val="0"/>
          <w:sz w:val="32"/>
          <w:szCs w:val="32"/>
        </w:rPr>
        <w:t>，确定</w:t>
      </w:r>
      <w:r>
        <w:rPr>
          <w:rFonts w:hint="eastAsia" w:ascii="仿宋" w:hAnsi="仿宋" w:eastAsia="仿宋"/>
          <w:sz w:val="32"/>
          <w:szCs w:val="32"/>
        </w:rPr>
        <w:t>工作目标、工作方案、时间安排、业务范围、人员分工、沟通协调、执行程序</w:t>
      </w:r>
      <w:r>
        <w:rPr>
          <w:rFonts w:ascii="仿宋" w:hAnsi="仿宋" w:eastAsia="仿宋"/>
          <w:sz w:val="32"/>
          <w:szCs w:val="32"/>
        </w:rPr>
        <w:t>等</w:t>
      </w:r>
      <w:r>
        <w:rPr>
          <w:rFonts w:hint="eastAsia" w:ascii="仿宋" w:hAnsi="仿宋" w:eastAsia="仿宋"/>
          <w:sz w:val="32"/>
          <w:szCs w:val="32"/>
        </w:rPr>
        <w:t>事项。</w:t>
      </w:r>
    </w:p>
    <w:p>
      <w:pPr>
        <w:snapToGrid w:val="0"/>
        <w:spacing w:line="360" w:lineRule="auto"/>
        <w:ind w:left="-284" w:firstLine="780" w:firstLineChars="244"/>
        <w:rPr>
          <w:rFonts w:ascii="仿宋" w:hAnsi="仿宋" w:eastAsia="仿宋"/>
          <w:sz w:val="32"/>
          <w:szCs w:val="32"/>
        </w:rPr>
      </w:pPr>
      <w:r>
        <w:rPr>
          <w:rFonts w:hint="eastAsia" w:ascii="仿宋" w:hAnsi="仿宋" w:eastAsia="仿宋"/>
          <w:sz w:val="32"/>
          <w:szCs w:val="32"/>
        </w:rPr>
        <w:t>制定业务计划，应当遵循以下</w:t>
      </w:r>
      <w:r>
        <w:rPr>
          <w:rFonts w:ascii="仿宋" w:hAnsi="仿宋" w:eastAsia="仿宋"/>
          <w:sz w:val="32"/>
          <w:szCs w:val="32"/>
        </w:rPr>
        <w:t>基本要求</w:t>
      </w:r>
      <w:r>
        <w:rPr>
          <w:rFonts w:hint="eastAsia" w:ascii="仿宋" w:hAnsi="仿宋" w:eastAsia="仿宋"/>
          <w:sz w:val="32"/>
          <w:szCs w:val="32"/>
        </w:rPr>
        <w:t>：</w:t>
      </w:r>
    </w:p>
    <w:p>
      <w:pPr>
        <w:snapToGrid w:val="0"/>
        <w:spacing w:line="360" w:lineRule="auto"/>
        <w:ind w:firstLine="566" w:firstLineChars="177"/>
        <w:rPr>
          <w:rFonts w:ascii="仿宋" w:hAnsi="仿宋" w:eastAsia="仿宋"/>
          <w:sz w:val="32"/>
          <w:szCs w:val="32"/>
        </w:rPr>
      </w:pPr>
      <w:r>
        <w:rPr>
          <w:rFonts w:hint="eastAsia" w:ascii="仿宋" w:hAnsi="仿宋" w:eastAsia="仿宋"/>
          <w:sz w:val="32"/>
          <w:szCs w:val="32"/>
        </w:rPr>
        <w:t>（一）符合法律、法规规定，不得损害国家税收利益和其他相关主体的合法权益；</w:t>
      </w:r>
    </w:p>
    <w:p>
      <w:pPr>
        <w:snapToGrid w:val="0"/>
        <w:spacing w:line="360" w:lineRule="auto"/>
        <w:ind w:firstLine="566" w:firstLineChars="177"/>
        <w:rPr>
          <w:rFonts w:ascii="仿宋" w:hAnsi="仿宋" w:eastAsia="仿宋"/>
          <w:sz w:val="32"/>
          <w:szCs w:val="32"/>
        </w:rPr>
      </w:pPr>
      <w:r>
        <w:rPr>
          <w:rFonts w:hint="eastAsia" w:ascii="仿宋" w:hAnsi="仿宋" w:eastAsia="仿宋"/>
          <w:sz w:val="32"/>
          <w:szCs w:val="32"/>
        </w:rPr>
        <w:t>（二）充分考虑委托人的业务需求，合理规划和实施必要的程序；</w:t>
      </w:r>
    </w:p>
    <w:p>
      <w:pPr>
        <w:snapToGrid w:val="0"/>
        <w:spacing w:line="360" w:lineRule="auto"/>
        <w:ind w:firstLine="707" w:firstLineChars="221"/>
        <w:rPr>
          <w:rFonts w:ascii="仿宋" w:hAnsi="仿宋" w:eastAsia="仿宋"/>
          <w:sz w:val="32"/>
          <w:szCs w:val="32"/>
        </w:rPr>
      </w:pPr>
      <w:r>
        <w:rPr>
          <w:rFonts w:hint="eastAsia" w:ascii="仿宋" w:hAnsi="仿宋" w:eastAsia="仿宋"/>
          <w:sz w:val="32"/>
          <w:szCs w:val="32"/>
        </w:rPr>
        <w:t>（三）审慎评价委托人的业务需求和自身的专业能力，合理安排专家团队的工作。</w:t>
      </w:r>
    </w:p>
    <w:p>
      <w:pPr>
        <w:widowControl/>
        <w:shd w:val="clear" w:color="auto" w:fill="FFFFFF"/>
        <w:snapToGrid w:val="0"/>
        <w:spacing w:line="360" w:lineRule="auto"/>
        <w:ind w:firstLine="639" w:firstLineChars="199"/>
        <w:rPr>
          <w:rFonts w:ascii="仿宋" w:hAnsi="仿宋" w:eastAsia="仿宋"/>
          <w:kern w:val="0"/>
          <w:sz w:val="32"/>
          <w:szCs w:val="32"/>
        </w:rPr>
      </w:pPr>
      <w:r>
        <w:rPr>
          <w:rFonts w:hint="eastAsia" w:ascii="仿宋" w:hAnsi="仿宋" w:eastAsia="仿宋"/>
          <w:b/>
          <w:kern w:val="0"/>
          <w:sz w:val="32"/>
          <w:szCs w:val="32"/>
        </w:rPr>
        <w:t>第十七</w:t>
      </w:r>
      <w:r>
        <w:rPr>
          <w:rFonts w:hint="eastAsia" w:ascii="仿宋" w:hAnsi="仿宋" w:eastAsia="仿宋"/>
          <w:b/>
          <w:bCs/>
          <w:kern w:val="0"/>
          <w:sz w:val="32"/>
          <w:szCs w:val="32"/>
        </w:rPr>
        <w:t>条</w:t>
      </w:r>
      <w:r>
        <w:rPr>
          <w:rFonts w:ascii="仿宋" w:hAnsi="仿宋" w:eastAsia="仿宋"/>
          <w:kern w:val="0"/>
          <w:sz w:val="32"/>
          <w:szCs w:val="32"/>
        </w:rPr>
        <w:t xml:space="preserve"> 承接</w:t>
      </w:r>
      <w:r>
        <w:rPr>
          <w:rFonts w:hint="eastAsia" w:ascii="仿宋" w:hAnsi="仿宋" w:eastAsia="仿宋"/>
          <w:sz w:val="32"/>
          <w:szCs w:val="32"/>
        </w:rPr>
        <w:t>企业境外投资税务风险管理咨询业务</w:t>
      </w:r>
      <w:r>
        <w:rPr>
          <w:rFonts w:hint="eastAsia" w:ascii="仿宋" w:hAnsi="仿宋" w:eastAsia="仿宋"/>
          <w:kern w:val="0"/>
          <w:sz w:val="32"/>
          <w:szCs w:val="32"/>
        </w:rPr>
        <w:t>工作计划一般应包括下列内容：</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（一）委托人基本情况。主要包括委托人所属行业及行业特点、基本业务情况、</w:t>
      </w:r>
      <w:r>
        <w:rPr>
          <w:rFonts w:hint="eastAsia" w:ascii="仿宋" w:hAnsi="仿宋" w:eastAsia="仿宋"/>
          <w:sz w:val="32"/>
          <w:szCs w:val="32"/>
        </w:rPr>
        <w:t>执行会计政策和相关税收政策情况</w:t>
      </w:r>
      <w:r>
        <w:rPr>
          <w:rFonts w:hint="eastAsia" w:ascii="仿宋" w:hAnsi="仿宋" w:eastAsia="仿宋"/>
          <w:kern w:val="0"/>
          <w:sz w:val="32"/>
          <w:szCs w:val="32"/>
        </w:rPr>
        <w:t>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（二）现有或拟议境外投资项目基本情况。主要包括现有或拟议境外投资项目涉及国家（地区）、投资目的、投资方式、投资期限、运营情况、内控管理等；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（三）业务小组成员。在确定业务小组成员，特别是确定项目负责人时，应充分考虑其从业经验、专业素质等；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（四）</w:t>
      </w:r>
      <w:r>
        <w:rPr>
          <w:rFonts w:hint="eastAsia" w:ascii="仿宋" w:hAnsi="仿宋" w:eastAsia="仿宋"/>
          <w:sz w:val="32"/>
          <w:szCs w:val="32"/>
        </w:rPr>
        <w:t>预计</w:t>
      </w:r>
      <w:r>
        <w:rPr>
          <w:rFonts w:hint="eastAsia" w:ascii="仿宋" w:hAnsi="仿宋" w:eastAsia="仿宋"/>
          <w:kern w:val="0"/>
          <w:sz w:val="32"/>
          <w:szCs w:val="32"/>
        </w:rPr>
        <w:t>工作进度及完成时间。项目负责人应对工作的进度及完成时间做出规划，明确各阶段的执行人及执行日期，资料的交接方式、时间以及预计服务完成时间等；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（五）重要风险管理事项。</w:t>
      </w:r>
      <w:r>
        <w:rPr>
          <w:rFonts w:ascii="仿宋" w:hAnsi="仿宋" w:eastAsia="仿宋"/>
          <w:kern w:val="0"/>
          <w:sz w:val="32"/>
          <w:szCs w:val="32"/>
        </w:rPr>
        <w:t>项目负责人</w:t>
      </w:r>
      <w:r>
        <w:rPr>
          <w:rFonts w:hint="eastAsia" w:ascii="仿宋" w:hAnsi="仿宋" w:eastAsia="仿宋"/>
          <w:kern w:val="0"/>
          <w:sz w:val="32"/>
          <w:szCs w:val="32"/>
        </w:rPr>
        <w:t>应当根据委托人的情况和委托事项的性质，确定重要的境外投资税务风险管理事项；</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（六）其他相关内容。</w:t>
      </w:r>
    </w:p>
    <w:p>
      <w:pPr>
        <w:adjustRightInd w:val="0"/>
        <w:snapToGrid w:val="0"/>
        <w:spacing w:line="360" w:lineRule="auto"/>
        <w:ind w:firstLine="643" w:firstLineChars="200"/>
        <w:rPr>
          <w:rFonts w:ascii="仿宋" w:hAnsi="仿宋" w:eastAsia="仿宋"/>
          <w:sz w:val="32"/>
          <w:szCs w:val="32"/>
        </w:rPr>
      </w:pPr>
      <w:r>
        <w:rPr>
          <w:rFonts w:ascii="仿宋" w:hAnsi="仿宋" w:eastAsia="仿宋"/>
          <w:b/>
          <w:kern w:val="0"/>
          <w:sz w:val="32"/>
          <w:szCs w:val="32"/>
        </w:rPr>
        <w:t>第</w:t>
      </w:r>
      <w:r>
        <w:rPr>
          <w:rFonts w:hint="eastAsia" w:ascii="仿宋" w:hAnsi="仿宋" w:eastAsia="仿宋"/>
          <w:b/>
          <w:kern w:val="0"/>
          <w:sz w:val="32"/>
          <w:szCs w:val="32"/>
        </w:rPr>
        <w:t>十八</w:t>
      </w:r>
      <w:r>
        <w:rPr>
          <w:rFonts w:ascii="仿宋" w:hAnsi="仿宋" w:eastAsia="仿宋"/>
          <w:b/>
          <w:kern w:val="0"/>
          <w:sz w:val="32"/>
          <w:szCs w:val="32"/>
        </w:rPr>
        <w:t>条</w:t>
      </w:r>
      <w:r>
        <w:rPr>
          <w:rFonts w:ascii="仿宋" w:hAnsi="仿宋" w:eastAsia="仿宋"/>
          <w:kern w:val="0"/>
          <w:sz w:val="32"/>
          <w:szCs w:val="32"/>
        </w:rPr>
        <w:t xml:space="preserve"> 业务计划编制完成以后，</w:t>
      </w:r>
      <w:r>
        <w:rPr>
          <w:rFonts w:hint="eastAsia" w:ascii="仿宋" w:hAnsi="仿宋" w:eastAsia="仿宋"/>
          <w:sz w:val="32"/>
          <w:szCs w:val="32"/>
        </w:rPr>
        <w:t>应</w:t>
      </w:r>
      <w:r>
        <w:rPr>
          <w:rFonts w:ascii="仿宋" w:hAnsi="仿宋" w:eastAsia="仿宋"/>
          <w:sz w:val="32"/>
          <w:szCs w:val="32"/>
        </w:rPr>
        <w:t>与</w:t>
      </w:r>
      <w:r>
        <w:rPr>
          <w:rFonts w:hint="eastAsia" w:ascii="仿宋" w:hAnsi="仿宋" w:eastAsia="仿宋"/>
          <w:sz w:val="32"/>
          <w:szCs w:val="32"/>
        </w:rPr>
        <w:t>委托人沟通并得到确认，履行</w:t>
      </w:r>
      <w:r>
        <w:rPr>
          <w:rFonts w:ascii="仿宋" w:hAnsi="仿宋" w:eastAsia="仿宋"/>
          <w:sz w:val="32"/>
          <w:szCs w:val="32"/>
        </w:rPr>
        <w:t>必要的内部审批程序后</w:t>
      </w:r>
      <w:r>
        <w:rPr>
          <w:rFonts w:hint="eastAsia" w:ascii="仿宋" w:hAnsi="仿宋" w:eastAsia="仿宋"/>
          <w:sz w:val="32"/>
          <w:szCs w:val="32"/>
        </w:rPr>
        <w:t>实施。在业务执行过程中，项目负责人可以视情况变化对业务计划作相应的调整。</w:t>
      </w:r>
    </w:p>
    <w:p>
      <w:pPr>
        <w:pStyle w:val="3"/>
        <w:snapToGrid w:val="0"/>
        <w:spacing w:before="0" w:after="0" w:line="360" w:lineRule="auto"/>
      </w:pPr>
      <w:bookmarkStart w:id="19" w:name="_Toc14101503"/>
      <w:bookmarkStart w:id="20" w:name="_Toc14162819"/>
      <w:bookmarkStart w:id="21" w:name="_Toc14101237"/>
      <w:r>
        <w:rPr>
          <w:rFonts w:hint="eastAsia"/>
        </w:rPr>
        <w:t>第五章</w:t>
      </w:r>
      <w:r>
        <w:rPr>
          <w:rFonts w:hint="eastAsia" w:ascii="宋体" w:hAnsi="宋体" w:cs="宋体"/>
        </w:rPr>
        <w:t> </w:t>
      </w:r>
      <w:r>
        <w:rPr>
          <w:rFonts w:hint="eastAsia"/>
        </w:rPr>
        <w:t>业务实施</w:t>
      </w:r>
      <w:bookmarkEnd w:id="19"/>
      <w:bookmarkEnd w:id="20"/>
      <w:bookmarkEnd w:id="21"/>
    </w:p>
    <w:p>
      <w:pPr>
        <w:pStyle w:val="4"/>
        <w:snapToGrid w:val="0"/>
        <w:spacing w:before="0" w:after="0" w:line="360" w:lineRule="auto"/>
        <w:jc w:val="center"/>
        <w:rPr>
          <w:rFonts w:ascii="仿宋" w:hAnsi="仿宋" w:eastAsia="仿宋"/>
        </w:rPr>
      </w:pPr>
      <w:bookmarkStart w:id="22" w:name="_Toc14101238"/>
      <w:r>
        <w:rPr>
          <w:rFonts w:hint="eastAsia" w:ascii="仿宋" w:hAnsi="仿宋" w:eastAsia="仿宋"/>
        </w:rPr>
        <w:t>第一节 业务实施程序</w:t>
      </w:r>
      <w:bookmarkEnd w:id="22"/>
    </w:p>
    <w:p>
      <w:pPr>
        <w:snapToGrid w:val="0"/>
        <w:spacing w:line="360" w:lineRule="auto"/>
        <w:ind w:firstLine="643" w:firstLineChars="200"/>
        <w:rPr>
          <w:rFonts w:ascii="仿宋" w:hAnsi="仿宋" w:eastAsia="仿宋"/>
          <w:sz w:val="32"/>
          <w:szCs w:val="32"/>
        </w:rPr>
      </w:pPr>
      <w:r>
        <w:rPr>
          <w:rFonts w:hint="eastAsia" w:ascii="仿宋" w:hAnsi="仿宋" w:eastAsia="仿宋"/>
          <w:b/>
          <w:kern w:val="0"/>
          <w:sz w:val="32"/>
          <w:szCs w:val="32"/>
        </w:rPr>
        <w:t>第十九条</w:t>
      </w:r>
      <w:r>
        <w:rPr>
          <w:rFonts w:hint="eastAsia" w:ascii="仿宋" w:hAnsi="仿宋" w:eastAsia="仿宋"/>
          <w:b/>
          <w:sz w:val="32"/>
          <w:szCs w:val="32"/>
        </w:rPr>
        <w:t xml:space="preserve"> </w:t>
      </w:r>
      <w:r>
        <w:rPr>
          <w:rFonts w:ascii="仿宋" w:hAnsi="仿宋" w:eastAsia="仿宋"/>
          <w:sz w:val="32"/>
          <w:szCs w:val="32"/>
        </w:rPr>
        <w:t>涉税服务人员应当根据委托</w:t>
      </w:r>
      <w:r>
        <w:rPr>
          <w:rFonts w:ascii="仿宋" w:hAnsi="仿宋" w:eastAsia="仿宋"/>
          <w:kern w:val="0"/>
          <w:sz w:val="32"/>
          <w:szCs w:val="32"/>
        </w:rPr>
        <w:t>人</w:t>
      </w:r>
      <w:r>
        <w:rPr>
          <w:rFonts w:ascii="仿宋" w:hAnsi="仿宋" w:eastAsia="仿宋"/>
          <w:sz w:val="32"/>
          <w:szCs w:val="32"/>
        </w:rPr>
        <w:t>情况和</w:t>
      </w:r>
      <w:r>
        <w:rPr>
          <w:rFonts w:ascii="仿宋" w:hAnsi="仿宋" w:eastAsia="仿宋"/>
          <w:kern w:val="0"/>
          <w:sz w:val="32"/>
          <w:szCs w:val="32"/>
        </w:rPr>
        <w:t>委托协议</w:t>
      </w:r>
      <w:r>
        <w:rPr>
          <w:rFonts w:ascii="仿宋" w:hAnsi="仿宋" w:eastAsia="仿宋"/>
          <w:sz w:val="32"/>
          <w:szCs w:val="32"/>
        </w:rPr>
        <w:t>、业务计划，要求委托人提供所需的相关资料。必要时，可书面列示资料清单，并告知委托人进行事前准备。</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此外，还可通过问卷调查、现场访谈和电话访谈的方式收集所需信息和资料。所收集的信息和资料包括但不限于委托人和</w:t>
      </w:r>
      <w:r>
        <w:rPr>
          <w:rFonts w:ascii="仿宋" w:hAnsi="仿宋" w:eastAsia="仿宋"/>
          <w:sz w:val="32"/>
          <w:szCs w:val="32"/>
        </w:rPr>
        <w:t>/或</w:t>
      </w:r>
      <w:r>
        <w:rPr>
          <w:rFonts w:hint="eastAsia" w:ascii="仿宋" w:hAnsi="仿宋" w:eastAsia="仿宋"/>
          <w:sz w:val="32"/>
          <w:szCs w:val="32"/>
        </w:rPr>
        <w:t>境外投资项目的股权架构、组织架构、财务数据、纳税申报资料、内部管理信息等。</w:t>
      </w:r>
    </w:p>
    <w:p>
      <w:pPr>
        <w:snapToGrid w:val="0"/>
        <w:spacing w:line="360" w:lineRule="auto"/>
        <w:ind w:firstLine="643" w:firstLineChars="200"/>
        <w:rPr>
          <w:rFonts w:ascii="仿宋" w:hAnsi="仿宋" w:eastAsia="仿宋"/>
          <w:sz w:val="32"/>
          <w:szCs w:val="32"/>
        </w:rPr>
      </w:pPr>
      <w:r>
        <w:rPr>
          <w:rFonts w:hint="eastAsia" w:ascii="仿宋" w:hAnsi="仿宋" w:eastAsia="仿宋"/>
          <w:b/>
          <w:kern w:val="0"/>
          <w:sz w:val="32"/>
          <w:szCs w:val="32"/>
        </w:rPr>
        <w:t>第二十条</w:t>
      </w:r>
      <w:r>
        <w:rPr>
          <w:rFonts w:hint="eastAsia" w:ascii="仿宋" w:hAnsi="仿宋" w:eastAsia="仿宋"/>
          <w:kern w:val="0"/>
          <w:sz w:val="32"/>
          <w:szCs w:val="32"/>
        </w:rPr>
        <w:t xml:space="preserve"> </w:t>
      </w:r>
      <w:r>
        <w:rPr>
          <w:rFonts w:hint="eastAsia" w:ascii="仿宋" w:hAnsi="仿宋" w:eastAsia="仿宋"/>
          <w:sz w:val="32"/>
          <w:szCs w:val="32"/>
        </w:rPr>
        <w:t>对所收集的信息和资料进行初步复核及整理，并根据整理结果调整、更新所需信息和资料清单。对委托人和</w:t>
      </w:r>
      <w:r>
        <w:rPr>
          <w:rFonts w:ascii="仿宋" w:hAnsi="仿宋" w:eastAsia="仿宋"/>
          <w:sz w:val="32"/>
          <w:szCs w:val="32"/>
        </w:rPr>
        <w:t>/或</w:t>
      </w:r>
      <w:r>
        <w:rPr>
          <w:rFonts w:hint="eastAsia" w:ascii="仿宋" w:hAnsi="仿宋" w:eastAsia="仿宋"/>
          <w:sz w:val="32"/>
          <w:szCs w:val="32"/>
        </w:rPr>
        <w:t>境外投资项目情况理解不同而导致的分歧，涉税服务人员应重新调查或与委托人进行讨论、确认。</w:t>
      </w:r>
    </w:p>
    <w:p>
      <w:pPr>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第二十一条</w:t>
      </w:r>
      <w:r>
        <w:rPr>
          <w:rFonts w:ascii="仿宋" w:hAnsi="仿宋" w:eastAsia="仿宋"/>
          <w:b/>
          <w:sz w:val="32"/>
          <w:szCs w:val="32"/>
        </w:rPr>
        <w:t xml:space="preserve"> </w:t>
      </w:r>
      <w:r>
        <w:rPr>
          <w:rFonts w:hint="eastAsia" w:ascii="仿宋" w:hAnsi="仿宋" w:eastAsia="仿宋"/>
          <w:sz w:val="32"/>
          <w:szCs w:val="32"/>
        </w:rPr>
        <w:t>涉税服务人员在向委托人收集信息和资料的同时，应根据境外投资项目的具体情况和需求，搜集、整理境外投资所涉中国大陆以外税收管辖区域的税务信息。如需与境外专家团队合作实施业务，涉税服务人员可以参照以下程序与境外专家团队沟通所需信息、资料，并合作实施业务：</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（一）了解中国大陆以外税收管辖区域的税收制度、纳税申报机制、税收监管环境、签署并生效的税收协定、跨境税务信息交换机制等概况；</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（二）结合境外投资项目的具体情况，初步分析可能涉及的中国大陆以外税收管辖区域的税务事项；</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（三）根据初步分析可能涉及的中国大陆以外税收管辖区域的税务事项，</w:t>
      </w:r>
      <w:r>
        <w:rPr>
          <w:rFonts w:hint="eastAsia" w:ascii="仿宋" w:hAnsi="仿宋" w:eastAsia="仿宋"/>
          <w:kern w:val="0"/>
          <w:sz w:val="32"/>
          <w:szCs w:val="32"/>
        </w:rPr>
        <w:t>评估税务师事务所及涉税服务人员提供受托业务的执业风险，并</w:t>
      </w:r>
      <w:r>
        <w:rPr>
          <w:rFonts w:hint="eastAsia" w:ascii="仿宋" w:hAnsi="仿宋" w:eastAsia="仿宋"/>
          <w:sz w:val="32"/>
          <w:szCs w:val="32"/>
        </w:rPr>
        <w:t>确定是否引入</w:t>
      </w:r>
      <w:r>
        <w:rPr>
          <w:rFonts w:hint="eastAsia" w:ascii="仿宋" w:hAnsi="仿宋" w:eastAsia="仿宋"/>
          <w:kern w:val="0"/>
          <w:sz w:val="32"/>
          <w:szCs w:val="32"/>
        </w:rPr>
        <w:t>中国大陆以外税收管辖区域具有当地</w:t>
      </w:r>
      <w:r>
        <w:rPr>
          <w:rFonts w:hint="eastAsia" w:ascii="仿宋" w:hAnsi="仿宋" w:eastAsia="仿宋"/>
          <w:sz w:val="32"/>
          <w:szCs w:val="32"/>
        </w:rPr>
        <w:t>税务咨询服务经验和资质的境外专家团队协助工作；</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（四）如引入境外专家团队协助工作，与境外专家团队就受托业务的具体要求进行沟通；根据与境外专家团队的沟通情况，确定或调整需要搜集的信息和资料清单；</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（五）根据所取得的信息和资料，进一步与境外专家团队沟通、讨论中国大陆以外税收管辖区域的涉税事项，并及时与委托人沟通境外专家团队提出的问题或进一步所需的信息和资料；</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（六）结合委托人的具体要求与业务承接风险的评估，确定与境外专家团队的具体合作方式并约定服务成果提交物的具体形式。</w:t>
      </w:r>
    </w:p>
    <w:p>
      <w:pPr>
        <w:snapToGrid w:val="0"/>
        <w:spacing w:line="360" w:lineRule="auto"/>
        <w:ind w:firstLine="643" w:firstLineChars="200"/>
        <w:rPr>
          <w:rFonts w:ascii="仿宋" w:hAnsi="仿宋" w:eastAsia="仿宋"/>
          <w:sz w:val="32"/>
          <w:szCs w:val="32"/>
        </w:rPr>
      </w:pPr>
      <w:r>
        <w:rPr>
          <w:rFonts w:hint="eastAsia" w:ascii="仿宋" w:hAnsi="仿宋" w:eastAsia="仿宋"/>
          <w:b/>
          <w:kern w:val="0"/>
          <w:sz w:val="32"/>
          <w:szCs w:val="32"/>
        </w:rPr>
        <w:t>第二十二条</w:t>
      </w:r>
      <w:r>
        <w:rPr>
          <w:rFonts w:hint="eastAsia" w:ascii="仿宋" w:hAnsi="仿宋" w:eastAsia="仿宋"/>
          <w:kern w:val="0"/>
          <w:sz w:val="32"/>
          <w:szCs w:val="32"/>
        </w:rPr>
        <w:t xml:space="preserve"> </w:t>
      </w:r>
      <w:r>
        <w:rPr>
          <w:rFonts w:ascii="仿宋" w:hAnsi="仿宋" w:eastAsia="仿宋"/>
          <w:sz w:val="32"/>
          <w:szCs w:val="32"/>
        </w:rPr>
        <w:t>涉税服务人员</w:t>
      </w:r>
      <w:r>
        <w:rPr>
          <w:rFonts w:hint="eastAsia" w:ascii="仿宋" w:hAnsi="仿宋" w:eastAsia="仿宋"/>
          <w:kern w:val="0"/>
          <w:sz w:val="32"/>
          <w:szCs w:val="32"/>
        </w:rPr>
        <w:t>对收集的资料进行整理，</w:t>
      </w:r>
      <w:r>
        <w:rPr>
          <w:rFonts w:hint="eastAsia" w:ascii="仿宋" w:hAnsi="仿宋" w:eastAsia="仿宋"/>
          <w:sz w:val="32"/>
          <w:szCs w:val="32"/>
        </w:rPr>
        <w:t>根据委托人现有或拟议境外投资项目所处阶段，即投资前和投资后，分别梳理不同阶段税务风险管理应重点考虑的内容。</w:t>
      </w:r>
    </w:p>
    <w:p>
      <w:pPr>
        <w:snapToGrid w:val="0"/>
        <w:spacing w:line="360" w:lineRule="auto"/>
        <w:ind w:firstLine="643" w:firstLineChars="200"/>
        <w:rPr>
          <w:rFonts w:ascii="仿宋" w:hAnsi="仿宋" w:eastAsia="仿宋"/>
          <w:b/>
          <w:sz w:val="32"/>
          <w:szCs w:val="32"/>
        </w:rPr>
      </w:pPr>
      <w:r>
        <w:rPr>
          <w:rFonts w:hint="eastAsia" w:ascii="仿宋" w:hAnsi="仿宋" w:eastAsia="仿宋"/>
          <w:b/>
          <w:kern w:val="0"/>
          <w:sz w:val="32"/>
          <w:szCs w:val="32"/>
        </w:rPr>
        <w:t xml:space="preserve"> </w:t>
      </w:r>
      <w:r>
        <w:rPr>
          <w:rFonts w:hint="eastAsia" w:ascii="仿宋" w:hAnsi="仿宋" w:eastAsia="仿宋"/>
          <w:sz w:val="32"/>
          <w:szCs w:val="32"/>
        </w:rPr>
        <w:t>在实施境外投资前的准备阶段，税务风险管理的目标主要是对境外投资税务风险事项进行识别和预判，包括中国税收居民企业和/或受控外国企业的风险、税收协定适用风险、境外税收抵免风险等，并结合企业的商业计划与安排，对已识别的税务风险制定风险管理措施和预案；</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在完成境外投资并持有投资项目阶段，税务风险管理的目标主要是管控与境外投资项目相关的业务安排可能产生的税务风险，包括中国税收居民企业和/或受控外国企业的风险、税收协定适用风险、跨境关联交易的转让定价风险、境外税收抵免风险、派遣员工的个人所得税风险等。</w:t>
      </w:r>
    </w:p>
    <w:p>
      <w:pPr>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 xml:space="preserve">第二十三条 </w:t>
      </w:r>
      <w:r>
        <w:rPr>
          <w:rFonts w:hint="eastAsia" w:ascii="仿宋" w:hAnsi="仿宋" w:eastAsia="仿宋"/>
          <w:sz w:val="32"/>
          <w:szCs w:val="32"/>
        </w:rPr>
        <w:t>除考虑境外投资项目所处阶段，涉税服务人员还应</w:t>
      </w:r>
      <w:r>
        <w:rPr>
          <w:rFonts w:hint="eastAsia" w:ascii="仿宋" w:hAnsi="仿宋" w:eastAsia="仿宋"/>
          <w:kern w:val="0"/>
          <w:sz w:val="32"/>
          <w:szCs w:val="32"/>
        </w:rPr>
        <w:t>针对</w:t>
      </w:r>
      <w:r>
        <w:rPr>
          <w:rFonts w:hint="eastAsia" w:ascii="仿宋" w:hAnsi="仿宋" w:eastAsia="仿宋"/>
          <w:sz w:val="32"/>
          <w:szCs w:val="32"/>
        </w:rPr>
        <w:t>境外投资项目所涉投资标的不同类型，分别重点关注以下税务风险：</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针对获得境外土地所有权、使用权等权益、获得境外自然资源勘探、开发特许权等权益、获得境外基础设施所有权、经营管理权等权益、获得境外资产所有权、经营管理权等权益、新建或改扩建境外固定资产的境外投资活动，应重点关注税收协定适用风险和派遣员工的个人所得税风险。</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针对新建境外企业或向既有境外企业增加投资、新设或参股境外股权投资基金的投资活动，应重点关注中国税收居民企业税务风险、受控外国企业税务风险、关联交易转让定价调整风险和境外税收抵免处理风险。</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针对通过协议、信托等方式控制境外企业或资产的投资活动，应重点关注税收协定适用风险和一般反避税风险。</w:t>
      </w:r>
    </w:p>
    <w:p>
      <w:pPr>
        <w:snapToGrid w:val="0"/>
        <w:spacing w:line="360" w:lineRule="auto"/>
        <w:ind w:firstLine="643" w:firstLineChars="200"/>
        <w:rPr>
          <w:rFonts w:ascii="仿宋" w:hAnsi="仿宋" w:eastAsia="仿宋"/>
          <w:sz w:val="32"/>
          <w:szCs w:val="32"/>
        </w:rPr>
      </w:pPr>
      <w:r>
        <w:rPr>
          <w:rFonts w:hint="eastAsia" w:ascii="仿宋" w:hAnsi="仿宋" w:eastAsia="仿宋"/>
          <w:b/>
          <w:kern w:val="0"/>
          <w:sz w:val="32"/>
          <w:szCs w:val="32"/>
        </w:rPr>
        <w:t xml:space="preserve">第二十四条 </w:t>
      </w:r>
      <w:r>
        <w:rPr>
          <w:rFonts w:ascii="仿宋" w:hAnsi="仿宋" w:eastAsia="仿宋"/>
          <w:sz w:val="32"/>
          <w:szCs w:val="32"/>
        </w:rPr>
        <w:t>涉税服务人员</w:t>
      </w:r>
      <w:r>
        <w:rPr>
          <w:rFonts w:hint="eastAsia" w:ascii="仿宋" w:hAnsi="仿宋" w:eastAsia="仿宋"/>
          <w:kern w:val="0"/>
          <w:sz w:val="32"/>
          <w:szCs w:val="32"/>
        </w:rPr>
        <w:t>根据收集的信息和资料，识别税务风险管理的具体目标，研读相关的税收政策、法规及税收协定条款，</w:t>
      </w:r>
      <w:r>
        <w:rPr>
          <w:rFonts w:hint="eastAsia" w:ascii="仿宋" w:hAnsi="仿宋" w:eastAsia="仿宋"/>
          <w:sz w:val="32"/>
          <w:szCs w:val="32"/>
        </w:rPr>
        <w:t>确定政策法规的引用方向和基础。</w:t>
      </w:r>
    </w:p>
    <w:p>
      <w:pPr>
        <w:snapToGrid w:val="0"/>
        <w:spacing w:line="360" w:lineRule="auto"/>
        <w:ind w:firstLine="640" w:firstLineChars="200"/>
        <w:rPr>
          <w:rFonts w:ascii="仿宋" w:hAnsi="仿宋" w:eastAsia="仿宋"/>
          <w:b/>
          <w:kern w:val="0"/>
          <w:sz w:val="32"/>
          <w:szCs w:val="32"/>
        </w:rPr>
      </w:pPr>
      <w:r>
        <w:rPr>
          <w:rFonts w:hint="eastAsia" w:ascii="仿宋" w:hAnsi="仿宋" w:eastAsia="仿宋"/>
          <w:sz w:val="32"/>
          <w:szCs w:val="32"/>
        </w:rPr>
        <w:t>对相关税收法律法规理解不同所导致的分歧，应与税务机关或者税务专家进行沟通讨论。在与税务机关进行沟通前，应告知委托人，沟通时应注意对委托人信息保密。</w:t>
      </w:r>
    </w:p>
    <w:p>
      <w:pPr>
        <w:widowControl/>
        <w:autoSpaceDE w:val="0"/>
        <w:autoSpaceDN w:val="0"/>
        <w:adjustRightInd w:val="0"/>
        <w:ind w:firstLine="643" w:firstLineChars="200"/>
        <w:rPr>
          <w:rFonts w:ascii="仿宋" w:hAnsi="仿宋" w:eastAsia="仿宋"/>
          <w:sz w:val="32"/>
          <w:szCs w:val="32"/>
        </w:rPr>
      </w:pPr>
      <w:r>
        <w:rPr>
          <w:rFonts w:hint="eastAsia" w:ascii="仿宋" w:hAnsi="仿宋" w:eastAsia="仿宋"/>
          <w:b/>
          <w:kern w:val="0"/>
          <w:sz w:val="32"/>
          <w:szCs w:val="32"/>
        </w:rPr>
        <w:t xml:space="preserve">第二十五条 </w:t>
      </w:r>
      <w:r>
        <w:rPr>
          <w:rFonts w:hint="eastAsia" w:ascii="仿宋" w:hAnsi="仿宋" w:eastAsia="仿宋"/>
          <w:kern w:val="0"/>
          <w:sz w:val="32"/>
          <w:szCs w:val="32"/>
        </w:rPr>
        <w:t>涉税服务人员应根据所取得的信息和资料，结合相关税法规定及实践要求，进行税务风险的分类以及定性、定量的分析和描述，明确境外投资项目涉及的税务风险发生的条件和可能性，评估其风险对企业实现税务管理目标的影响程度，从而对税务风险管理的优先顺序和策略提出建议</w:t>
      </w:r>
      <w:r>
        <w:rPr>
          <w:rFonts w:hint="eastAsia" w:ascii="仿宋" w:hAnsi="仿宋" w:eastAsia="仿宋"/>
          <w:sz w:val="32"/>
          <w:szCs w:val="32"/>
        </w:rPr>
        <w:t>。</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涉税服务人员提出的境外投资税务风险</w:t>
      </w:r>
      <w:r>
        <w:rPr>
          <w:rFonts w:hint="eastAsia" w:ascii="仿宋" w:hAnsi="仿宋" w:eastAsia="仿宋"/>
          <w:sz w:val="32"/>
          <w:szCs w:val="32"/>
        </w:rPr>
        <w:t>管控措施或预案建议</w:t>
      </w:r>
      <w:r>
        <w:rPr>
          <w:rFonts w:hint="eastAsia" w:ascii="仿宋" w:hAnsi="仿宋" w:eastAsia="仿宋"/>
          <w:kern w:val="0"/>
          <w:sz w:val="32"/>
          <w:szCs w:val="32"/>
        </w:rPr>
        <w:t>应</w:t>
      </w:r>
      <w:r>
        <w:rPr>
          <w:rFonts w:hint="eastAsia" w:ascii="仿宋" w:hAnsi="仿宋" w:eastAsia="仿宋"/>
          <w:sz w:val="32"/>
          <w:szCs w:val="32"/>
        </w:rPr>
        <w:t>基于委托人真实的商业计划安排和特定的风险管控目标。</w:t>
      </w:r>
      <w:r>
        <w:rPr>
          <w:rFonts w:hint="eastAsia" w:ascii="仿宋" w:hAnsi="仿宋" w:eastAsia="仿宋"/>
          <w:kern w:val="0"/>
          <w:sz w:val="32"/>
          <w:szCs w:val="32"/>
        </w:rPr>
        <w:t>涉税服务人员应</w:t>
      </w:r>
      <w:r>
        <w:rPr>
          <w:rFonts w:hint="eastAsia" w:ascii="仿宋" w:hAnsi="仿宋" w:eastAsia="仿宋"/>
          <w:sz w:val="32"/>
          <w:szCs w:val="32"/>
        </w:rPr>
        <w:t>与委托人就服务具体内容进行充分沟通，确保服务成果符合委托人的目标和要求，并经委托人认可。</w:t>
      </w:r>
    </w:p>
    <w:p>
      <w:pPr>
        <w:snapToGrid w:val="0"/>
        <w:spacing w:line="360" w:lineRule="auto"/>
        <w:ind w:firstLine="643" w:firstLineChars="200"/>
        <w:rPr>
          <w:rFonts w:ascii="仿宋" w:hAnsi="仿宋" w:eastAsia="仿宋"/>
          <w:kern w:val="0"/>
          <w:sz w:val="32"/>
          <w:szCs w:val="32"/>
        </w:rPr>
      </w:pPr>
      <w:r>
        <w:rPr>
          <w:rFonts w:hint="eastAsia" w:ascii="仿宋" w:hAnsi="仿宋" w:eastAsia="仿宋"/>
          <w:b/>
          <w:kern w:val="0"/>
          <w:sz w:val="32"/>
          <w:szCs w:val="32"/>
        </w:rPr>
        <w:t>第二十六条</w:t>
      </w:r>
      <w:r>
        <w:rPr>
          <w:rFonts w:ascii="仿宋" w:hAnsi="仿宋" w:eastAsia="仿宋"/>
          <w:b/>
          <w:kern w:val="0"/>
          <w:sz w:val="32"/>
          <w:szCs w:val="32"/>
        </w:rPr>
        <w:t xml:space="preserve"> </w:t>
      </w:r>
      <w:r>
        <w:rPr>
          <w:rFonts w:hint="eastAsia" w:ascii="仿宋" w:hAnsi="仿宋" w:eastAsia="仿宋"/>
          <w:kern w:val="0"/>
          <w:sz w:val="32"/>
          <w:szCs w:val="32"/>
        </w:rPr>
        <w:t>涉税服务人员应注意提示委托人就相关风险注意点留存适当的书面材料，以应对税务机关的检查。</w:t>
      </w:r>
    </w:p>
    <w:p>
      <w:pPr>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第二十七条</w:t>
      </w:r>
      <w:r>
        <w:rPr>
          <w:rFonts w:hint="eastAsia" w:ascii="仿宋" w:hAnsi="仿宋" w:eastAsia="仿宋"/>
          <w:sz w:val="32"/>
          <w:szCs w:val="32"/>
        </w:rPr>
        <w:t xml:space="preserve"> </w:t>
      </w:r>
      <w:r>
        <w:rPr>
          <w:rFonts w:hint="eastAsia" w:ascii="仿宋" w:hAnsi="仿宋" w:eastAsia="仿宋"/>
          <w:color w:val="000000" w:themeColor="text1"/>
          <w:sz w:val="32"/>
          <w:szCs w:val="32"/>
          <w14:textFill>
            <w14:solidFill>
              <w14:schemeClr w14:val="tx1"/>
            </w14:solidFill>
          </w14:textFill>
        </w:rPr>
        <w:t>企业境外投资税务风险管理</w:t>
      </w:r>
      <w:r>
        <w:rPr>
          <w:rFonts w:hint="eastAsia" w:ascii="仿宋" w:hAnsi="仿宋" w:eastAsia="仿宋"/>
          <w:sz w:val="32"/>
          <w:szCs w:val="32"/>
        </w:rPr>
        <w:t>服务完成后，税务师事务所及其涉税服务人员应当按照以下顺序对涉税业务委托协议、业务底稿、业务成果等有关材料进行整理、归类、装订、立卷、保存、归档。</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w:t>
      </w:r>
      <w:r>
        <w:rPr>
          <w:rFonts w:hint="eastAsia" w:ascii="仿宋" w:hAnsi="仿宋" w:eastAsia="仿宋"/>
          <w:sz w:val="32"/>
          <w:szCs w:val="32"/>
        </w:rPr>
        <w:tab/>
      </w:r>
      <w:r>
        <w:rPr>
          <w:rFonts w:hint="eastAsia" w:ascii="仿宋" w:hAnsi="仿宋" w:eastAsia="仿宋"/>
          <w:sz w:val="32"/>
          <w:szCs w:val="32"/>
        </w:rPr>
        <w:t>企业境外投资税务风险管理服务业务委托协议；</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w:t>
      </w:r>
      <w:r>
        <w:rPr>
          <w:rFonts w:hint="eastAsia" w:ascii="仿宋" w:hAnsi="仿宋" w:eastAsia="仿宋"/>
          <w:sz w:val="32"/>
          <w:szCs w:val="32"/>
        </w:rPr>
        <w:tab/>
      </w:r>
      <w:r>
        <w:rPr>
          <w:rFonts w:hint="eastAsia" w:ascii="仿宋" w:hAnsi="仿宋" w:eastAsia="仿宋"/>
          <w:sz w:val="32"/>
          <w:szCs w:val="32"/>
        </w:rPr>
        <w:t>业务计划；</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（三）</w:t>
      </w:r>
      <w:r>
        <w:rPr>
          <w:rFonts w:hint="eastAsia" w:ascii="仿宋" w:hAnsi="仿宋" w:eastAsia="仿宋"/>
          <w:sz w:val="32"/>
          <w:szCs w:val="32"/>
        </w:rPr>
        <w:tab/>
      </w:r>
      <w:r>
        <w:rPr>
          <w:rFonts w:hint="eastAsia" w:ascii="仿宋" w:hAnsi="仿宋" w:eastAsia="仿宋"/>
          <w:sz w:val="32"/>
          <w:szCs w:val="32"/>
        </w:rPr>
        <w:t>企业境外投资税务风险服务业务底稿；</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（四）与境外专家团队的沟通函件；</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（五）服务过程中与委托人管理层沟通的相关通讯记录；</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（六）</w:t>
      </w:r>
      <w:r>
        <w:rPr>
          <w:rFonts w:hint="eastAsia" w:ascii="仿宋" w:hAnsi="仿宋" w:eastAsia="仿宋"/>
          <w:sz w:val="32"/>
          <w:szCs w:val="32"/>
        </w:rPr>
        <w:tab/>
      </w:r>
      <w:r>
        <w:rPr>
          <w:rFonts w:hint="eastAsia" w:ascii="仿宋" w:hAnsi="仿宋" w:eastAsia="仿宋"/>
          <w:sz w:val="32"/>
          <w:szCs w:val="32"/>
        </w:rPr>
        <w:t>出具的业务报告及其他业务成果；</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（七）</w:t>
      </w:r>
      <w:r>
        <w:rPr>
          <w:rFonts w:hint="eastAsia" w:ascii="仿宋" w:hAnsi="仿宋" w:eastAsia="仿宋"/>
          <w:sz w:val="32"/>
          <w:szCs w:val="32"/>
        </w:rPr>
        <w:tab/>
      </w:r>
      <w:r>
        <w:rPr>
          <w:rFonts w:hint="eastAsia" w:ascii="仿宋" w:hAnsi="仿宋" w:eastAsia="仿宋"/>
          <w:sz w:val="32"/>
          <w:szCs w:val="32"/>
        </w:rPr>
        <w:t>其他相关补充资料。</w:t>
      </w:r>
    </w:p>
    <w:p>
      <w:pPr>
        <w:pStyle w:val="4"/>
        <w:snapToGrid w:val="0"/>
        <w:spacing w:before="0" w:after="0" w:line="360" w:lineRule="auto"/>
        <w:jc w:val="center"/>
        <w:rPr>
          <w:rFonts w:ascii="仿宋" w:hAnsi="仿宋" w:eastAsia="仿宋"/>
        </w:rPr>
      </w:pPr>
      <w:bookmarkStart w:id="23" w:name="_Toc14101239"/>
      <w:r>
        <w:rPr>
          <w:rFonts w:hint="eastAsia" w:ascii="仿宋" w:hAnsi="仿宋" w:eastAsia="仿宋"/>
        </w:rPr>
        <w:t>第二节 中国税收居民企业税务风险管理</w:t>
      </w:r>
      <w:bookmarkEnd w:id="23"/>
    </w:p>
    <w:p>
      <w:pPr>
        <w:snapToGrid w:val="0"/>
        <w:spacing w:line="360" w:lineRule="auto"/>
        <w:ind w:firstLine="643" w:firstLineChars="200"/>
        <w:rPr>
          <w:rFonts w:ascii="仿宋" w:hAnsi="仿宋" w:eastAsia="仿宋"/>
          <w:kern w:val="0"/>
          <w:sz w:val="32"/>
          <w:szCs w:val="32"/>
        </w:rPr>
      </w:pPr>
      <w:r>
        <w:rPr>
          <w:rFonts w:hint="eastAsia" w:ascii="仿宋" w:hAnsi="仿宋" w:eastAsia="仿宋"/>
          <w:b/>
          <w:kern w:val="0"/>
          <w:sz w:val="32"/>
          <w:szCs w:val="32"/>
        </w:rPr>
        <w:t>第二十八条</w:t>
      </w:r>
      <w:r>
        <w:rPr>
          <w:rFonts w:hint="eastAsia" w:ascii="仿宋" w:hAnsi="仿宋" w:eastAsia="仿宋"/>
          <w:kern w:val="0"/>
          <w:sz w:val="32"/>
          <w:szCs w:val="32"/>
        </w:rPr>
        <w:t xml:space="preserve"> 中国税收居民企业风险是指境外企业由于实际管理机构位于中国境内，从而被认定为中国税收居民企业的税务风险。</w:t>
      </w:r>
    </w:p>
    <w:p>
      <w:pPr>
        <w:snapToGrid w:val="0"/>
        <w:spacing w:line="360" w:lineRule="auto"/>
        <w:ind w:firstLine="643" w:firstLineChars="200"/>
        <w:rPr>
          <w:rFonts w:ascii="仿宋" w:hAnsi="仿宋" w:eastAsia="仿宋"/>
          <w:kern w:val="0"/>
          <w:sz w:val="32"/>
          <w:szCs w:val="32"/>
        </w:rPr>
      </w:pPr>
      <w:r>
        <w:rPr>
          <w:rFonts w:hint="eastAsia" w:ascii="仿宋" w:hAnsi="仿宋" w:eastAsia="仿宋"/>
          <w:b/>
          <w:sz w:val="32"/>
          <w:szCs w:val="32"/>
        </w:rPr>
        <w:t>第二十九条</w:t>
      </w:r>
      <w:r>
        <w:rPr>
          <w:rFonts w:ascii="仿宋" w:hAnsi="仿宋" w:eastAsia="仿宋"/>
          <w:b/>
          <w:sz w:val="32"/>
          <w:szCs w:val="32"/>
        </w:rPr>
        <w:t xml:space="preserve"> </w:t>
      </w:r>
      <w:r>
        <w:rPr>
          <w:rFonts w:hint="eastAsia" w:ascii="仿宋" w:hAnsi="仿宋" w:eastAsia="仿宋"/>
          <w:kern w:val="0"/>
          <w:sz w:val="32"/>
          <w:szCs w:val="32"/>
        </w:rPr>
        <w:t>涉税服务人员应当向委托人采集境外企业的以下信息和资料，从而对境外企业的中国税收居民企业风险进行分析与判定：</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（一）董事会决议事项和召开地点；</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（二）董事的税收居民身份所在地、经常居住地、前往中国的频繁程度、工作职责及履行相关职责的地点等；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（三）高级管理人员的税收居民身份所在地、经常居住地、前往中国的频繁程度、工作职责及履行相关职责的地点、多重任职安排等；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sz w:val="32"/>
          <w:szCs w:val="32"/>
        </w:rPr>
        <w:t>（四）</w:t>
      </w:r>
      <w:r>
        <w:rPr>
          <w:rFonts w:hint="eastAsia" w:ascii="仿宋" w:hAnsi="仿宋" w:eastAsia="仿宋"/>
          <w:kern w:val="0"/>
          <w:sz w:val="32"/>
          <w:szCs w:val="32"/>
        </w:rPr>
        <w:t>公司运营、投资、营销、采购、财务、人事、知识产权、固定资产等事项的管理和决策流程和地点；</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（五）会计账簿、公司印章、董事会纪要等重要资料的存放地点;</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（六）在注册地雇佣当地员工、开设银行账号、租赁或拥有办公场所、进行纳税申报等情况；</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（七）法律、税务和财务相关资料，包括法律注册文件、纳税申报表、财务报表、重大交易合同等；</w:t>
      </w:r>
    </w:p>
    <w:p>
      <w:pPr>
        <w:snapToGrid w:val="0"/>
        <w:spacing w:line="360" w:lineRule="auto"/>
        <w:ind w:firstLine="640" w:firstLineChars="200"/>
        <w:rPr>
          <w:rFonts w:ascii="仿宋" w:hAnsi="仿宋" w:eastAsia="仿宋"/>
          <w:sz w:val="32"/>
          <w:szCs w:val="32"/>
        </w:rPr>
      </w:pPr>
      <w:r>
        <w:rPr>
          <w:rFonts w:hint="eastAsia" w:ascii="仿宋" w:hAnsi="仿宋" w:eastAsia="仿宋"/>
          <w:kern w:val="0"/>
          <w:sz w:val="32"/>
          <w:szCs w:val="32"/>
        </w:rPr>
        <w:t>（八）与分析中国税收居民企业风险相关的其他信息和资料。</w:t>
      </w:r>
    </w:p>
    <w:p>
      <w:pPr>
        <w:snapToGrid w:val="0"/>
        <w:spacing w:line="360" w:lineRule="auto"/>
        <w:ind w:firstLine="643" w:firstLineChars="200"/>
        <w:rPr>
          <w:rFonts w:ascii="仿宋" w:hAnsi="仿宋" w:eastAsia="仿宋"/>
          <w:sz w:val="32"/>
          <w:szCs w:val="32"/>
        </w:rPr>
      </w:pPr>
      <w:r>
        <w:rPr>
          <w:rFonts w:hint="eastAsia" w:ascii="仿宋" w:hAnsi="仿宋" w:eastAsia="仿宋"/>
          <w:b/>
          <w:kern w:val="0"/>
          <w:sz w:val="32"/>
          <w:szCs w:val="32"/>
        </w:rPr>
        <w:t>第三十条</w:t>
      </w:r>
      <w:r>
        <w:rPr>
          <w:rFonts w:ascii="仿宋" w:hAnsi="仿宋" w:eastAsia="仿宋"/>
          <w:kern w:val="0"/>
          <w:sz w:val="32"/>
          <w:szCs w:val="32"/>
        </w:rPr>
        <w:t xml:space="preserve"> </w:t>
      </w:r>
      <w:r>
        <w:rPr>
          <w:rFonts w:hint="eastAsia" w:ascii="仿宋" w:hAnsi="仿宋" w:eastAsia="仿宋"/>
          <w:kern w:val="0"/>
          <w:sz w:val="32"/>
          <w:szCs w:val="32"/>
        </w:rPr>
        <w:t xml:space="preserve">中国税收居民企业风险管理的重点是识别境外企业实际管理机构被认定为位于中国境内的风险，涉税服务人员在分析中国税收居民风险时应重点关注： </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（一）企业负责实施日常生产经营管理运作的高层管理人员及其高层管理部门履行职责的场所是否主要位于中国境内；</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（二）企业的财务决策（如借款、放款、融资、财务风险管理等）和人事决策（如任命、解聘和薪酬等）是否由位于中国境内的机构或人员决定，或需要得到位于中国境内的机构或人员批准；</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（三）企业的主要财产、会计账簿、公司印章、董事会和股东会议纪要档案等是否位于或存放于中国境内；</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（四）企业</w:t>
      </w:r>
      <w:r>
        <w:rPr>
          <w:rFonts w:ascii="仿宋" w:hAnsi="仿宋" w:eastAsia="仿宋"/>
          <w:kern w:val="0"/>
          <w:sz w:val="32"/>
          <w:szCs w:val="32"/>
        </w:rPr>
        <w:t>1/2</w:t>
      </w:r>
      <w:r>
        <w:rPr>
          <w:rFonts w:hint="eastAsia" w:ascii="仿宋" w:hAnsi="仿宋" w:eastAsia="仿宋"/>
          <w:kern w:val="0"/>
          <w:sz w:val="32"/>
          <w:szCs w:val="32"/>
        </w:rPr>
        <w:t>（含</w:t>
      </w:r>
      <w:r>
        <w:rPr>
          <w:rFonts w:ascii="仿宋" w:hAnsi="仿宋" w:eastAsia="仿宋"/>
          <w:kern w:val="0"/>
          <w:sz w:val="32"/>
          <w:szCs w:val="32"/>
        </w:rPr>
        <w:t>1/2</w:t>
      </w:r>
      <w:r>
        <w:rPr>
          <w:rFonts w:hint="eastAsia" w:ascii="仿宋" w:hAnsi="仿宋" w:eastAsia="仿宋"/>
          <w:kern w:val="0"/>
          <w:sz w:val="32"/>
          <w:szCs w:val="32"/>
        </w:rPr>
        <w:t>）以上有投票权的董事或高层管理人员是否经常居住于中国境内。</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（五）上述（一）至（四）项是否同时满足；</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（六）是否遵循实质重于形式的原则；</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（七）与中国税收居民企业风险相关的其他事项。</w:t>
      </w:r>
    </w:p>
    <w:p>
      <w:pPr>
        <w:pStyle w:val="4"/>
        <w:snapToGrid w:val="0"/>
        <w:spacing w:before="0" w:after="0" w:line="360" w:lineRule="auto"/>
        <w:jc w:val="center"/>
        <w:rPr>
          <w:rFonts w:ascii="仿宋" w:hAnsi="仿宋" w:eastAsia="仿宋"/>
        </w:rPr>
      </w:pPr>
      <w:bookmarkStart w:id="24" w:name="_Toc14101240"/>
      <w:r>
        <w:rPr>
          <w:rFonts w:hint="eastAsia" w:ascii="仿宋" w:hAnsi="仿宋" w:eastAsia="仿宋"/>
        </w:rPr>
        <w:t>第三节 受控外国企业税务风险管理</w:t>
      </w:r>
      <w:bookmarkEnd w:id="24"/>
    </w:p>
    <w:p>
      <w:pPr>
        <w:snapToGrid w:val="0"/>
        <w:spacing w:line="360" w:lineRule="auto"/>
        <w:ind w:firstLine="643" w:firstLineChars="200"/>
        <w:rPr>
          <w:rFonts w:ascii="仿宋" w:hAnsi="仿宋" w:eastAsia="仿宋"/>
          <w:kern w:val="0"/>
          <w:sz w:val="32"/>
          <w:szCs w:val="32"/>
        </w:rPr>
      </w:pPr>
      <w:r>
        <w:rPr>
          <w:rFonts w:hint="eastAsia" w:ascii="仿宋" w:hAnsi="仿宋" w:eastAsia="仿宋"/>
          <w:b/>
          <w:kern w:val="0"/>
          <w:sz w:val="32"/>
          <w:szCs w:val="32"/>
        </w:rPr>
        <w:t>第三十一条</w:t>
      </w:r>
      <w:r>
        <w:rPr>
          <w:rFonts w:hint="eastAsia" w:ascii="仿宋" w:hAnsi="仿宋" w:eastAsia="仿宋"/>
          <w:kern w:val="0"/>
          <w:sz w:val="32"/>
          <w:szCs w:val="32"/>
        </w:rPr>
        <w:t xml:space="preserve"> 受控外国企业税务风险是指境外企业由于被中国居民企业或中国居民企业和中国居民个人（以下简称“中国居民股东”）控制且设立在实际税负低于规定水平的国家（地区），并非出于合理经营需要对利润不作分配或减少分配，从而被认定为受控外国企业的税务风险。</w:t>
      </w:r>
    </w:p>
    <w:p>
      <w:pPr>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第三十二条</w:t>
      </w:r>
      <w:r>
        <w:rPr>
          <w:rFonts w:ascii="仿宋" w:hAnsi="仿宋" w:eastAsia="仿宋"/>
          <w:b/>
          <w:sz w:val="32"/>
          <w:szCs w:val="32"/>
        </w:rPr>
        <w:t xml:space="preserve"> </w:t>
      </w:r>
      <w:r>
        <w:rPr>
          <w:rFonts w:hint="eastAsia" w:ascii="仿宋" w:hAnsi="仿宋" w:eastAsia="仿宋"/>
          <w:sz w:val="32"/>
          <w:szCs w:val="32"/>
        </w:rPr>
        <w:t>涉税服务人员应当向委托人采集</w:t>
      </w:r>
      <w:r>
        <w:rPr>
          <w:rFonts w:hint="eastAsia" w:ascii="仿宋" w:hAnsi="仿宋" w:eastAsia="仿宋"/>
          <w:kern w:val="0"/>
          <w:sz w:val="32"/>
          <w:szCs w:val="32"/>
        </w:rPr>
        <w:t>境外企业及其中国居民股东的</w:t>
      </w:r>
      <w:r>
        <w:rPr>
          <w:rFonts w:hint="eastAsia" w:ascii="仿宋" w:hAnsi="仿宋" w:eastAsia="仿宋"/>
          <w:sz w:val="32"/>
          <w:szCs w:val="32"/>
        </w:rPr>
        <w:t>以下信息和资料，从而对境外企业的受控外国企业风险进行分析与判定：</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（一）中国居民股东直接或间接持有境外企业股权的比例、性质等信息；</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（二）境外企业与中国居民股东之间的资金往来、关联交易等情况；</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（三）境外企业法律、税务和财务相关资料，包括法律注册文件、相关年度的审计报告、财务报表、纳税申报表等；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（四）境外企业相关年度的股息分配情况及支持资料,如股东会决议（纪要）等；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（五）境外企业将利润留存或部分留存在境外的商业理由及历史期间留存利润的实际使用情况；</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（六）与分析受控外国企业风险相关的其他信息和资料。</w:t>
      </w:r>
    </w:p>
    <w:p>
      <w:pPr>
        <w:snapToGrid w:val="0"/>
        <w:spacing w:line="360" w:lineRule="auto"/>
        <w:ind w:firstLine="643" w:firstLineChars="200"/>
        <w:rPr>
          <w:rFonts w:ascii="仿宋" w:hAnsi="仿宋" w:eastAsia="仿宋"/>
          <w:kern w:val="0"/>
          <w:sz w:val="32"/>
          <w:szCs w:val="32"/>
        </w:rPr>
      </w:pPr>
      <w:r>
        <w:rPr>
          <w:rFonts w:hint="eastAsia" w:ascii="仿宋" w:hAnsi="仿宋" w:eastAsia="仿宋"/>
          <w:b/>
          <w:kern w:val="0"/>
          <w:sz w:val="32"/>
          <w:szCs w:val="32"/>
        </w:rPr>
        <w:t>第三十三条</w:t>
      </w:r>
      <w:r>
        <w:rPr>
          <w:rFonts w:hint="eastAsia" w:ascii="仿宋" w:hAnsi="仿宋" w:eastAsia="仿宋"/>
          <w:kern w:val="0"/>
          <w:sz w:val="32"/>
          <w:szCs w:val="32"/>
        </w:rPr>
        <w:t xml:space="preserve"> 涉税服务人员在分析受控外国企业税务风险时应重点关注：</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（一）中国居民股东是否在股份、资金、经营、购销等方面对境外企业构成实质控制；</w:t>
      </w:r>
      <w:r>
        <w:rPr>
          <w:rFonts w:ascii="仿宋" w:hAnsi="仿宋" w:eastAsia="仿宋"/>
          <w:kern w:val="0"/>
          <w:sz w:val="32"/>
          <w:szCs w:val="32"/>
        </w:rPr>
        <w:t xml:space="preserve"> </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（二）境外企业的实际税负是否低于规定的水平；</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（三）将利润留存或部分留存在境外是否具有合理商业目的及历史期间留存利润的实际使用情况；</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（四）境外企业是否属于免于被认定为受控外国企业的情形；</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（五）与受控外国企业风险相关的其他事项。</w:t>
      </w:r>
    </w:p>
    <w:p>
      <w:pPr>
        <w:pStyle w:val="4"/>
        <w:snapToGrid w:val="0"/>
        <w:spacing w:before="0" w:after="0" w:line="360" w:lineRule="auto"/>
        <w:jc w:val="center"/>
        <w:rPr>
          <w:rFonts w:ascii="仿宋" w:hAnsi="仿宋" w:eastAsia="仿宋"/>
        </w:rPr>
      </w:pPr>
      <w:bookmarkStart w:id="25" w:name="_Toc14101241"/>
      <w:r>
        <w:rPr>
          <w:rFonts w:hint="eastAsia" w:ascii="仿宋" w:hAnsi="仿宋" w:eastAsia="仿宋"/>
        </w:rPr>
        <w:t>第四节 税收协定适用风险管理</w:t>
      </w:r>
      <w:bookmarkEnd w:id="25"/>
    </w:p>
    <w:p>
      <w:pPr>
        <w:snapToGrid w:val="0"/>
        <w:spacing w:line="360" w:lineRule="auto"/>
        <w:ind w:firstLine="643" w:firstLineChars="200"/>
        <w:rPr>
          <w:rFonts w:ascii="仿宋" w:hAnsi="仿宋" w:eastAsia="仿宋"/>
          <w:kern w:val="0"/>
          <w:sz w:val="32"/>
          <w:szCs w:val="32"/>
        </w:rPr>
      </w:pPr>
      <w:r>
        <w:rPr>
          <w:rFonts w:hint="eastAsia" w:ascii="仿宋" w:hAnsi="仿宋" w:eastAsia="仿宋"/>
          <w:b/>
          <w:kern w:val="0"/>
          <w:sz w:val="32"/>
          <w:szCs w:val="32"/>
        </w:rPr>
        <w:t xml:space="preserve">第三十四条 </w:t>
      </w:r>
      <w:r>
        <w:rPr>
          <w:rFonts w:hint="eastAsia" w:ascii="仿宋" w:hAnsi="仿宋" w:eastAsia="仿宋"/>
          <w:kern w:val="0"/>
          <w:sz w:val="32"/>
          <w:szCs w:val="32"/>
        </w:rPr>
        <w:t>税收协定适用风险是指企业在适用税收协定时，由于不符合税收协定或缔约方国内税法所规定的条件而无法适用协定条款的风险。</w:t>
      </w:r>
    </w:p>
    <w:p>
      <w:pPr>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第三十五条</w:t>
      </w:r>
      <w:r>
        <w:rPr>
          <w:rFonts w:ascii="仿宋" w:hAnsi="仿宋" w:eastAsia="仿宋"/>
          <w:b/>
          <w:sz w:val="32"/>
          <w:szCs w:val="32"/>
        </w:rPr>
        <w:t xml:space="preserve"> </w:t>
      </w:r>
      <w:r>
        <w:rPr>
          <w:rFonts w:hint="eastAsia" w:ascii="仿宋" w:hAnsi="仿宋" w:eastAsia="仿宋"/>
          <w:kern w:val="0"/>
          <w:sz w:val="32"/>
          <w:szCs w:val="32"/>
        </w:rPr>
        <w:t>涉税服务人员应当向委托人采集以下信息和资料，从而对税收协定适用风险进行分析与判定：</w:t>
      </w:r>
      <w:r>
        <w:rPr>
          <w:rFonts w:ascii="仿宋" w:hAnsi="仿宋" w:eastAsia="仿宋"/>
          <w:sz w:val="32"/>
          <w:szCs w:val="32"/>
        </w:rPr>
        <w:t xml:space="preserve"> </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（一）与境外投资相关的股权架构图；</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（二）协定待遇申请方的税收居民证明；</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（三）与拟申请协定待遇的款项相关的资料；</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（四）在缔约国设立成员实体的商业目的；</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（五）根据税收协定以及协定缔约方的国内税法规则和税务实践所需提供的其他信息和资料。</w:t>
      </w:r>
    </w:p>
    <w:p>
      <w:pPr>
        <w:snapToGrid w:val="0"/>
        <w:spacing w:line="360" w:lineRule="auto"/>
        <w:ind w:firstLine="643" w:firstLineChars="200"/>
        <w:rPr>
          <w:rFonts w:ascii="仿宋" w:hAnsi="仿宋" w:eastAsia="仿宋"/>
          <w:kern w:val="0"/>
          <w:sz w:val="32"/>
          <w:szCs w:val="32"/>
        </w:rPr>
      </w:pPr>
      <w:r>
        <w:rPr>
          <w:rFonts w:hint="eastAsia" w:ascii="仿宋" w:hAnsi="仿宋" w:eastAsia="仿宋"/>
          <w:b/>
          <w:kern w:val="0"/>
          <w:sz w:val="32"/>
          <w:szCs w:val="32"/>
        </w:rPr>
        <w:t>第三十六条</w:t>
      </w:r>
      <w:r>
        <w:rPr>
          <w:rFonts w:hint="eastAsia" w:ascii="仿宋" w:hAnsi="仿宋" w:eastAsia="仿宋"/>
          <w:kern w:val="0"/>
          <w:sz w:val="32"/>
          <w:szCs w:val="32"/>
        </w:rPr>
        <w:t xml:space="preserve"> 涉税服务人员在分析税收协定适用风险时，应重点关注以下事项：</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（一）取得相关所得的主体是否为税收协定缔约方其中一方或双方的税收居民；</w:t>
      </w:r>
    </w:p>
    <w:p>
      <w:pPr>
        <w:snapToGrid w:val="0"/>
        <w:spacing w:line="360" w:lineRule="auto"/>
        <w:ind w:firstLine="640" w:firstLineChars="200"/>
      </w:pPr>
      <w:r>
        <w:rPr>
          <w:rFonts w:hint="eastAsia" w:ascii="仿宋" w:hAnsi="仿宋" w:eastAsia="仿宋"/>
          <w:sz w:val="32"/>
          <w:szCs w:val="32"/>
        </w:rPr>
        <w:t>（二）税收协定所涵盖的税种范围；</w:t>
      </w:r>
    </w:p>
    <w:p>
      <w:pPr>
        <w:pStyle w:val="24"/>
        <w:snapToGrid w:val="0"/>
        <w:spacing w:line="360" w:lineRule="auto"/>
        <w:ind w:left="320" w:firstLine="320" w:firstLineChars="100"/>
        <w:rPr>
          <w:rFonts w:ascii="仿宋" w:hAnsi="仿宋" w:eastAsia="仿宋"/>
          <w:sz w:val="32"/>
          <w:szCs w:val="32"/>
        </w:rPr>
      </w:pPr>
      <w:r>
        <w:rPr>
          <w:rFonts w:hint="eastAsia" w:ascii="仿宋" w:hAnsi="仿宋" w:eastAsia="仿宋"/>
          <w:sz w:val="32"/>
          <w:szCs w:val="32"/>
        </w:rPr>
        <w:t>（三）适用的协定具体条款是否正确；</w:t>
      </w:r>
    </w:p>
    <w:p>
      <w:pPr>
        <w:pStyle w:val="24"/>
        <w:snapToGrid w:val="0"/>
        <w:spacing w:line="360" w:lineRule="auto"/>
        <w:ind w:left="320" w:firstLine="320" w:firstLineChars="100"/>
        <w:rPr>
          <w:rFonts w:ascii="仿宋" w:hAnsi="仿宋" w:eastAsia="仿宋"/>
          <w:sz w:val="32"/>
          <w:szCs w:val="32"/>
        </w:rPr>
      </w:pPr>
      <w:r>
        <w:rPr>
          <w:rFonts w:hint="eastAsia" w:ascii="仿宋" w:hAnsi="仿宋" w:eastAsia="仿宋"/>
          <w:sz w:val="32"/>
          <w:szCs w:val="32"/>
        </w:rPr>
        <w:t>（四）协定具体条款的适用条件是否充分满足；</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（五）协定中有关防止滥用税收协定的条款是否触发，同时还需结合缔约方国内税法所规定的反避税规则分析；</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（六）协定适用是否符合给予协定优惠待遇的缔约方国内税法所规定的实质性和程序性要件；</w:t>
      </w:r>
    </w:p>
    <w:p>
      <w:pPr>
        <w:snapToGrid w:val="0"/>
        <w:spacing w:line="360" w:lineRule="auto"/>
        <w:ind w:left="660"/>
        <w:rPr>
          <w:rFonts w:ascii="仿宋" w:hAnsi="仿宋" w:eastAsia="仿宋"/>
          <w:sz w:val="32"/>
          <w:szCs w:val="32"/>
        </w:rPr>
      </w:pPr>
      <w:r>
        <w:rPr>
          <w:rFonts w:hint="eastAsia" w:ascii="仿宋" w:hAnsi="仿宋" w:eastAsia="仿宋"/>
          <w:sz w:val="32"/>
          <w:szCs w:val="32"/>
        </w:rPr>
        <w:t>（七）与税收协定适用风险相关的其他事项。</w:t>
      </w:r>
    </w:p>
    <w:p>
      <w:pPr>
        <w:pStyle w:val="4"/>
        <w:snapToGrid w:val="0"/>
        <w:spacing w:before="0" w:after="0" w:line="360" w:lineRule="auto"/>
        <w:jc w:val="center"/>
        <w:rPr>
          <w:rFonts w:ascii="仿宋" w:hAnsi="仿宋" w:eastAsia="仿宋"/>
        </w:rPr>
      </w:pPr>
      <w:bookmarkStart w:id="26" w:name="_Toc14101242"/>
      <w:r>
        <w:rPr>
          <w:rFonts w:hint="eastAsia" w:ascii="仿宋" w:hAnsi="仿宋" w:eastAsia="仿宋"/>
        </w:rPr>
        <w:t>第五节 关联交易转让定价调整风险管理</w:t>
      </w:r>
      <w:bookmarkEnd w:id="26"/>
    </w:p>
    <w:p>
      <w:pPr>
        <w:snapToGrid w:val="0"/>
        <w:spacing w:line="360" w:lineRule="auto"/>
        <w:ind w:firstLine="643" w:firstLineChars="200"/>
        <w:rPr>
          <w:rFonts w:ascii="仿宋" w:hAnsi="仿宋" w:eastAsia="仿宋"/>
          <w:sz w:val="32"/>
          <w:szCs w:val="32"/>
        </w:rPr>
      </w:pPr>
      <w:r>
        <w:rPr>
          <w:rFonts w:hint="eastAsia" w:ascii="仿宋" w:hAnsi="仿宋" w:eastAsia="仿宋"/>
          <w:b/>
          <w:kern w:val="0"/>
          <w:sz w:val="32"/>
          <w:szCs w:val="32"/>
        </w:rPr>
        <w:t>第三十七条</w:t>
      </w:r>
      <w:r>
        <w:rPr>
          <w:rFonts w:ascii="仿宋" w:hAnsi="仿宋" w:eastAsia="仿宋"/>
          <w:kern w:val="0"/>
          <w:sz w:val="32"/>
          <w:szCs w:val="32"/>
        </w:rPr>
        <w:t xml:space="preserve"> </w:t>
      </w:r>
      <w:r>
        <w:rPr>
          <w:rFonts w:hint="eastAsia" w:ascii="仿宋" w:hAnsi="仿宋" w:eastAsia="仿宋"/>
          <w:kern w:val="0"/>
          <w:sz w:val="32"/>
          <w:szCs w:val="32"/>
        </w:rPr>
        <w:t>关联交易转让定价调整风险是指中国税收居民企业与其境外关联方之间的业务往来，因不符合独立交易原则而减少中国税收居民企业应纳税收入或者所得额，从而被税务机关按照合理方法进行调整的风险。</w:t>
      </w:r>
    </w:p>
    <w:p>
      <w:pPr>
        <w:snapToGrid w:val="0"/>
        <w:spacing w:line="360" w:lineRule="auto"/>
        <w:ind w:firstLine="643" w:firstLineChars="200"/>
        <w:rPr>
          <w:rFonts w:ascii="仿宋" w:hAnsi="仿宋" w:eastAsia="仿宋"/>
          <w:kern w:val="0"/>
          <w:sz w:val="32"/>
          <w:szCs w:val="32"/>
        </w:rPr>
      </w:pPr>
      <w:r>
        <w:rPr>
          <w:rFonts w:hint="eastAsia" w:ascii="仿宋" w:hAnsi="仿宋" w:eastAsia="仿宋"/>
          <w:b/>
          <w:kern w:val="0"/>
          <w:sz w:val="32"/>
          <w:szCs w:val="32"/>
        </w:rPr>
        <w:t>第三十八条</w:t>
      </w:r>
      <w:r>
        <w:rPr>
          <w:rFonts w:ascii="仿宋" w:hAnsi="仿宋" w:eastAsia="仿宋"/>
          <w:kern w:val="0"/>
          <w:sz w:val="32"/>
          <w:szCs w:val="32"/>
        </w:rPr>
        <w:t xml:space="preserve"> </w:t>
      </w:r>
      <w:r>
        <w:rPr>
          <w:rFonts w:hint="eastAsia" w:ascii="仿宋" w:hAnsi="仿宋" w:eastAsia="仿宋"/>
          <w:kern w:val="0"/>
          <w:sz w:val="32"/>
          <w:szCs w:val="32"/>
        </w:rPr>
        <w:t>涉税服务人员应当向委托人采集关联交易及其所涉主体的以下信息和资料，从而对关联交易转让定价调整风险进行分析与判定：</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（一）交易双方的法律、财务和税务基本资料，包括法律注册文件、审计报告、财务报表、纳税申报表等；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（二）关联交易转让定价分析、同期资料和</w:t>
      </w:r>
      <w:r>
        <w:rPr>
          <w:rFonts w:ascii="仿宋" w:hAnsi="仿宋" w:eastAsia="仿宋"/>
          <w:kern w:val="0"/>
          <w:sz w:val="32"/>
          <w:szCs w:val="32"/>
        </w:rPr>
        <w:t>/或</w:t>
      </w:r>
      <w:r>
        <w:rPr>
          <w:rFonts w:hint="eastAsia" w:ascii="仿宋" w:hAnsi="仿宋" w:eastAsia="仿宋"/>
          <w:kern w:val="0"/>
          <w:sz w:val="32"/>
          <w:szCs w:val="32"/>
        </w:rPr>
        <w:t>国别报告等文档；</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（三）关联交易双方之间或交易双方同与第三方的股权关系、资金往来、经营往来、董事或高管委派情况或其他共同利益联系；</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（四）关联交易的合同及情况说明，包含交易类型、时间、金额、结算货币、交易条件、贸易形式、业务流程等信息；</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（五）关联交易的转让定价方法、可比性分析、定价影响要素、价值链分析等信息及文档；</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（六）交易双方在关联交易中各自执行的功能、承担的风险和使用的资产等信息；</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（七）成本分摊协议及其相关资料（如分摊方法和原则、实际分摊情况、成本分摊协议特殊事项文档、与主管税局关于成本分摊协议的往来函件等）；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（八）交易双方与主管税局就关联交易进行沟通的相关资料和记录，如预约定价安排、税收裁定、往来信函等；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（九）其他与关联交易转让定价调整风险相关的信息和资料。</w:t>
      </w:r>
    </w:p>
    <w:p>
      <w:pPr>
        <w:snapToGrid w:val="0"/>
        <w:spacing w:line="360" w:lineRule="auto"/>
        <w:ind w:firstLine="643" w:firstLineChars="200"/>
        <w:rPr>
          <w:rFonts w:ascii="仿宋" w:hAnsi="仿宋" w:eastAsia="仿宋"/>
          <w:kern w:val="0"/>
          <w:sz w:val="32"/>
          <w:szCs w:val="32"/>
        </w:rPr>
      </w:pPr>
      <w:r>
        <w:rPr>
          <w:rFonts w:hint="eastAsia" w:ascii="仿宋" w:hAnsi="仿宋" w:eastAsia="仿宋"/>
          <w:b/>
          <w:kern w:val="0"/>
          <w:sz w:val="32"/>
          <w:szCs w:val="32"/>
        </w:rPr>
        <w:t xml:space="preserve">第三十九条 </w:t>
      </w:r>
      <w:r>
        <w:rPr>
          <w:rFonts w:hint="eastAsia" w:ascii="仿宋" w:hAnsi="仿宋" w:eastAsia="仿宋"/>
          <w:kern w:val="0"/>
          <w:sz w:val="32"/>
          <w:szCs w:val="32"/>
        </w:rPr>
        <w:t>涉税服务人员在分析关联交易转让定价调整风险时应重点关注：</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（一）交易所涉主体是否符合关联方的条件；</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（二）关联交易是否涉及位于实际税负水平低于中国企业所得税税率的国家（地区）的关联方；</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（三）交易双方在关联交易中各自承担的功能、风险和使用的资产是否相匹配；</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（四）交易双方的利润分配是否与其在关联交易中执行的功能、承担的风险和使用的资产相匹配；</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（五）被测试方及转让定价方法的选择是否合理；</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（六）在进行可比性分析时是否充分考虑各项可比性因素、合理选择可比对象等；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（七）交易所涉主体的利润水平是否位于可比企业利润率区间；</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（八）是否按照相关税法规定准备转让定价文档；</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（九）预约定价安排和成本分摊协议等预先税务安排的后续跟踪管理情况；</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（十）是否存在被重点进行转让定价调查的情形；</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（十一）与关联交易转让定价调整风险相关的其他事项。</w:t>
      </w:r>
    </w:p>
    <w:p>
      <w:pPr>
        <w:pStyle w:val="4"/>
        <w:snapToGrid w:val="0"/>
        <w:spacing w:before="0" w:after="0" w:line="360" w:lineRule="auto"/>
        <w:jc w:val="center"/>
        <w:rPr>
          <w:rFonts w:ascii="仿宋" w:hAnsi="仿宋" w:eastAsia="仿宋"/>
        </w:rPr>
      </w:pPr>
      <w:bookmarkStart w:id="27" w:name="_Toc14101243"/>
      <w:r>
        <w:rPr>
          <w:rFonts w:hint="eastAsia" w:ascii="仿宋" w:hAnsi="仿宋" w:eastAsia="仿宋"/>
        </w:rPr>
        <w:t>第六节 境外税收抵免处理风险</w:t>
      </w:r>
      <w:bookmarkEnd w:id="27"/>
      <w:r>
        <w:rPr>
          <w:rFonts w:hint="eastAsia" w:ascii="仿宋" w:hAnsi="仿宋" w:eastAsia="仿宋"/>
        </w:rPr>
        <w:t>管理</w:t>
      </w:r>
    </w:p>
    <w:p>
      <w:pPr>
        <w:snapToGrid w:val="0"/>
        <w:spacing w:line="360" w:lineRule="auto"/>
        <w:ind w:firstLine="643" w:firstLineChars="200"/>
        <w:rPr>
          <w:rFonts w:ascii="仿宋" w:hAnsi="仿宋" w:eastAsia="仿宋"/>
          <w:kern w:val="0"/>
          <w:sz w:val="32"/>
          <w:szCs w:val="32"/>
        </w:rPr>
      </w:pPr>
      <w:r>
        <w:rPr>
          <w:rFonts w:hint="eastAsia" w:ascii="仿宋" w:hAnsi="仿宋" w:eastAsia="仿宋"/>
          <w:b/>
          <w:kern w:val="0"/>
          <w:sz w:val="32"/>
          <w:szCs w:val="32"/>
        </w:rPr>
        <w:t>第四十条</w:t>
      </w:r>
      <w:r>
        <w:rPr>
          <w:rFonts w:hint="eastAsia" w:ascii="仿宋" w:hAnsi="仿宋" w:eastAsia="仿宋"/>
          <w:kern w:val="0"/>
          <w:sz w:val="32"/>
          <w:szCs w:val="32"/>
        </w:rPr>
        <w:t xml:space="preserve"> 境外税收抵免处理风险是指中国税收居民企业在计算可以用以抵免其中国企业所得税税额的境外已缴纳所得税税额时，未能正确适用相关法规从而导致错误申报、缴纳企业所得税税款的风险。</w:t>
      </w:r>
    </w:p>
    <w:p>
      <w:pPr>
        <w:snapToGrid w:val="0"/>
        <w:spacing w:line="360" w:lineRule="auto"/>
        <w:ind w:firstLine="643" w:firstLineChars="200"/>
        <w:rPr>
          <w:rFonts w:ascii="仿宋" w:hAnsi="仿宋" w:eastAsia="仿宋"/>
          <w:sz w:val="32"/>
          <w:szCs w:val="32"/>
        </w:rPr>
      </w:pPr>
      <w:r>
        <w:rPr>
          <w:rFonts w:hint="eastAsia" w:ascii="仿宋" w:hAnsi="仿宋" w:eastAsia="仿宋"/>
          <w:b/>
          <w:kern w:val="0"/>
          <w:sz w:val="32"/>
          <w:szCs w:val="32"/>
        </w:rPr>
        <w:t>第四十一条</w:t>
      </w:r>
      <w:r>
        <w:rPr>
          <w:rFonts w:hint="eastAsia" w:ascii="仿宋" w:hAnsi="仿宋" w:eastAsia="仿宋"/>
          <w:kern w:val="0"/>
          <w:sz w:val="32"/>
          <w:szCs w:val="32"/>
        </w:rPr>
        <w:t xml:space="preserve"> 涉税服务人员应当向委托人采集委托人及境外实体的以下信息和资料，从而对委托人的境外税收抵免处理风险进行分析与判定： </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（一）境外所得在境外已经缴纳有关税款的完税证明或纳税凭证；</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（二）境外所得在境外适用税种的计税方法说明；</w:t>
      </w:r>
    </w:p>
    <w:p>
      <w:pPr>
        <w:snapToGrid w:val="0"/>
        <w:spacing w:line="360" w:lineRule="auto"/>
        <w:ind w:firstLine="640" w:firstLineChars="200"/>
        <w:rPr>
          <w:rFonts w:ascii="仿宋" w:hAnsi="仿宋" w:eastAsia="仿宋"/>
          <w:sz w:val="32"/>
          <w:szCs w:val="32"/>
        </w:rPr>
      </w:pPr>
      <w:r>
        <w:rPr>
          <w:rFonts w:hint="eastAsia" w:ascii="仿宋_GB2312" w:hAnsi="Times New Roman" w:eastAsia="仿宋_GB2312"/>
          <w:kern w:val="0"/>
          <w:sz w:val="32"/>
          <w:szCs w:val="32"/>
        </w:rPr>
        <w:t>（三）与不同类型的境外所得相关的信息和资料</w:t>
      </w:r>
      <w:r>
        <w:rPr>
          <w:rFonts w:hint="eastAsia" w:ascii="仿宋" w:hAnsi="仿宋" w:eastAsia="仿宋"/>
          <w:sz w:val="32"/>
          <w:szCs w:val="32"/>
        </w:rPr>
        <w:t>：</w:t>
      </w:r>
    </w:p>
    <w:p>
      <w:pPr>
        <w:snapToGrid w:val="0"/>
        <w:spacing w:line="360" w:lineRule="auto"/>
        <w:ind w:firstLine="848" w:firstLineChars="265"/>
        <w:rPr>
          <w:rFonts w:ascii="仿宋" w:hAnsi="仿宋" w:eastAsia="仿宋"/>
          <w:sz w:val="32"/>
          <w:szCs w:val="32"/>
        </w:rPr>
      </w:pPr>
      <w:r>
        <w:rPr>
          <w:rFonts w:hint="eastAsia" w:ascii="仿宋_GB2312" w:hAnsi="Times New Roman" w:eastAsia="仿宋_GB2312"/>
          <w:kern w:val="0"/>
          <w:sz w:val="32"/>
          <w:szCs w:val="32"/>
        </w:rPr>
        <w:t>1.</w:t>
      </w:r>
      <w:r>
        <w:rPr>
          <w:rFonts w:hint="eastAsia" w:ascii="仿宋" w:hAnsi="仿宋" w:eastAsia="仿宋"/>
          <w:sz w:val="32"/>
          <w:szCs w:val="32"/>
        </w:rPr>
        <w:t>境外分支机构的营业利润所得：境外分支机构会计报表、具有资质的机构出具的有关分支机构审计报告等；</w:t>
      </w:r>
    </w:p>
    <w:p>
      <w:pPr>
        <w:snapToGrid w:val="0"/>
        <w:spacing w:line="360" w:lineRule="auto"/>
        <w:ind w:firstLine="848" w:firstLineChars="265"/>
        <w:rPr>
          <w:rFonts w:ascii="仿宋" w:hAnsi="仿宋" w:eastAsia="仿宋"/>
          <w:sz w:val="32"/>
          <w:szCs w:val="32"/>
        </w:rPr>
      </w:pPr>
      <w:r>
        <w:rPr>
          <w:rFonts w:hint="eastAsia" w:ascii="仿宋" w:hAnsi="仿宋" w:eastAsia="仿宋"/>
          <w:sz w:val="32"/>
          <w:szCs w:val="32"/>
        </w:rPr>
        <w:t>2.境外股息、红利所得：控股架构、被投资公司章程、境外企业有权决定利润分配的机构做出的决定书（如董事会决议）等；</w:t>
      </w:r>
    </w:p>
    <w:p>
      <w:pPr>
        <w:snapToGrid w:val="0"/>
        <w:spacing w:line="360" w:lineRule="auto"/>
        <w:ind w:firstLine="848" w:firstLineChars="265"/>
        <w:rPr>
          <w:rFonts w:ascii="仿宋" w:hAnsi="仿宋" w:eastAsia="仿宋"/>
          <w:sz w:val="32"/>
          <w:szCs w:val="32"/>
        </w:rPr>
      </w:pPr>
      <w:r>
        <w:rPr>
          <w:rFonts w:hint="eastAsia" w:ascii="仿宋" w:hAnsi="仿宋" w:eastAsia="仿宋"/>
          <w:sz w:val="32"/>
          <w:szCs w:val="32"/>
        </w:rPr>
        <w:t>3.境外利息、租金、特许权使用费、转让财产等所得：交易合同、取得有关所得的明细结算文件、被转让财产计税基础等；</w:t>
      </w:r>
    </w:p>
    <w:p>
      <w:pPr>
        <w:snapToGrid w:val="0"/>
        <w:spacing w:line="360" w:lineRule="auto"/>
        <w:ind w:firstLine="848" w:firstLineChars="265"/>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以总分包或联合体方式在境外实施工程项目取得劳务所得：总包合同、分包合同或联合体组建协议、总分包方之间或联合体各方之间的工作时间或工作量分配情况、工程项目按合同约定提供的明细结算文件等；</w:t>
      </w:r>
    </w:p>
    <w:p>
      <w:pPr>
        <w:snapToGrid w:val="0"/>
        <w:spacing w:line="360" w:lineRule="auto"/>
        <w:ind w:firstLine="848" w:firstLineChars="265"/>
        <w:rPr>
          <w:rFonts w:ascii="仿宋" w:hAnsi="仿宋" w:eastAsia="仿宋"/>
          <w:sz w:val="32"/>
          <w:szCs w:val="32"/>
        </w:rPr>
      </w:pPr>
      <w:r>
        <w:rPr>
          <w:rFonts w:hint="eastAsia" w:ascii="仿宋" w:hAnsi="仿宋" w:eastAsia="仿宋"/>
          <w:sz w:val="32"/>
          <w:szCs w:val="32"/>
        </w:rPr>
        <w:t>5.与其他类型所得相关的其他信息和资料；</w:t>
      </w:r>
    </w:p>
    <w:p>
      <w:pPr>
        <w:snapToGrid w:val="0"/>
        <w:spacing w:line="360" w:lineRule="auto"/>
        <w:ind w:firstLine="640" w:firstLineChars="200"/>
        <w:rPr>
          <w:rFonts w:ascii="仿宋" w:hAnsi="仿宋" w:eastAsia="仿宋"/>
          <w:sz w:val="32"/>
          <w:szCs w:val="32"/>
        </w:rPr>
      </w:pPr>
      <w:r>
        <w:rPr>
          <w:rFonts w:hint="eastAsia" w:ascii="仿宋" w:hAnsi="仿宋" w:eastAsia="仿宋"/>
          <w:kern w:val="0"/>
          <w:sz w:val="32"/>
          <w:szCs w:val="32"/>
        </w:rPr>
        <w:t>（四）适用税收饶让抵免的还需采集</w:t>
      </w:r>
      <w:r>
        <w:rPr>
          <w:rFonts w:hint="eastAsia" w:ascii="仿宋" w:hAnsi="仿宋" w:eastAsia="仿宋"/>
          <w:sz w:val="32"/>
          <w:szCs w:val="32"/>
        </w:rPr>
        <w:t>委托人及其直接或间接控制的境外企业在境外所获免税及减税的依据及证明文件；</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（五）委托人以前年度已经适用境外税收抵免的，还需搜集委托人以前年度企业所得税申报的有关附表及工作底稿；</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（六）与境外税收抵免处理风险相关的其他信息和资料。</w:t>
      </w:r>
    </w:p>
    <w:p>
      <w:pPr>
        <w:snapToGrid w:val="0"/>
        <w:spacing w:line="360" w:lineRule="auto"/>
        <w:ind w:firstLine="643" w:firstLineChars="200"/>
        <w:rPr>
          <w:rFonts w:ascii="仿宋" w:hAnsi="仿宋" w:eastAsia="仿宋"/>
          <w:b/>
          <w:sz w:val="32"/>
          <w:szCs w:val="32"/>
        </w:rPr>
      </w:pPr>
      <w:r>
        <w:rPr>
          <w:rFonts w:hint="eastAsia" w:ascii="仿宋" w:hAnsi="仿宋" w:eastAsia="仿宋"/>
          <w:b/>
          <w:sz w:val="32"/>
          <w:szCs w:val="32"/>
        </w:rPr>
        <w:t xml:space="preserve">第四十二条 </w:t>
      </w:r>
      <w:r>
        <w:rPr>
          <w:rFonts w:hint="eastAsia" w:ascii="仿宋" w:hAnsi="仿宋" w:eastAsia="仿宋"/>
          <w:sz w:val="32"/>
          <w:szCs w:val="32"/>
        </w:rPr>
        <w:t>涉税服务人员在分析境外税收抵免处理风险时应重点关注：</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（一）是否符合境外税收抵免的适用条件，包括在适用间接抵免的情况下，是否符合税法所规定的如股权比例、股权层级等条件；</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是否正确计算境外应纳税所得额，包括是否正确还原境外税前所得、境外不具有独立纳税地位的分支机构的所得是否正确纳入境外应纳税所得额、境外所得的费用支出扣除是否合理且有充分的文件支持、境内外共同支出的分摊扣除是否合理、是否正确处理境内外所得盈亏相抵、是否正确处理境外企业所在国家（地区）纳税年度与中国纳税年度不一致的情况等；</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三）是否正确计算可抵免境外所得税税额，包括是否属于不可抵免的境外所得税税额范围、是否正确适用税收饶让抵免以及相关境外税收优惠待遇是否有充分的文件支持、适用间接抵免时是否正确计算境外所得间接负担的税额等；</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（四）是否正确计算抵免限额，包括是否正确处理境外所得来源于多个国家（地区）产生的境外已纳税款、是否适用正确的所得税税率等；</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（五）是否正确运用孰低原则确定当年可抵免的境外所得税限额；</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（六）是否符合税收抵免简易办法的适用条件；</w:t>
      </w:r>
      <w:r>
        <w:rPr>
          <w:rFonts w:ascii="仿宋" w:hAnsi="仿宋" w:eastAsia="仿宋"/>
          <w:sz w:val="32"/>
          <w:szCs w:val="32"/>
        </w:rPr>
        <w:t xml:space="preserve"> </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（七）以前年度结转的可抵免境外所得税税额是否超过可结转年限；</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（八）与境外税收抵免处理风险相关的其他事项。</w:t>
      </w:r>
      <w:r>
        <w:rPr>
          <w:rFonts w:ascii="仿宋" w:hAnsi="仿宋" w:eastAsia="仿宋"/>
          <w:sz w:val="32"/>
          <w:szCs w:val="32"/>
        </w:rPr>
        <w:t xml:space="preserve"> </w:t>
      </w:r>
    </w:p>
    <w:p>
      <w:pPr>
        <w:pStyle w:val="4"/>
        <w:snapToGrid w:val="0"/>
        <w:spacing w:before="0" w:after="0" w:line="360" w:lineRule="auto"/>
        <w:jc w:val="center"/>
        <w:rPr>
          <w:rFonts w:ascii="仿宋" w:hAnsi="仿宋" w:eastAsia="仿宋"/>
        </w:rPr>
      </w:pPr>
      <w:r>
        <w:rPr>
          <w:rFonts w:hint="eastAsia" w:ascii="仿宋" w:hAnsi="仿宋" w:eastAsia="仿宋"/>
        </w:rPr>
        <w:t>第七节 派遣员工的个人所得税风险管理</w:t>
      </w:r>
    </w:p>
    <w:p>
      <w:pPr>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第四十三条</w:t>
      </w:r>
      <w:r>
        <w:rPr>
          <w:rFonts w:hint="eastAsia" w:ascii="仿宋" w:hAnsi="仿宋" w:eastAsia="仿宋"/>
          <w:sz w:val="32"/>
          <w:szCs w:val="32"/>
        </w:rPr>
        <w:t xml:space="preserve"> 派遣员工的个人所得税风险是指中国居民企业派遣作为中国税收居民的员工至境外工作时，未能按照税法规定就派遣员工在被派遣期间所取得的工资、薪金所得计算、申报缴纳被派遣国（地区）和中国个人所得税的风险。</w:t>
      </w:r>
    </w:p>
    <w:p>
      <w:pPr>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第四十四条</w:t>
      </w:r>
      <w:r>
        <w:rPr>
          <w:rFonts w:ascii="仿宋" w:hAnsi="仿宋" w:eastAsia="仿宋"/>
          <w:b/>
          <w:sz w:val="32"/>
          <w:szCs w:val="32"/>
        </w:rPr>
        <w:t xml:space="preserve"> </w:t>
      </w:r>
      <w:r>
        <w:rPr>
          <w:rFonts w:hint="eastAsia" w:ascii="仿宋" w:hAnsi="仿宋" w:eastAsia="仿宋"/>
          <w:sz w:val="32"/>
          <w:szCs w:val="32"/>
        </w:rPr>
        <w:t>涉税服务人员应当向委托人采集以下信息和资料，从而对派遣员工的个人所得税风险进行分析和判定：</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（一）派遣员工的个人信息和资料，包括身份证件复印件、职务、境内住所、缴税情况等；</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（二）派遣员工与派遣单位和</w:t>
      </w:r>
      <w:r>
        <w:rPr>
          <w:rFonts w:ascii="仿宋" w:hAnsi="仿宋" w:eastAsia="仿宋"/>
          <w:sz w:val="32"/>
          <w:szCs w:val="32"/>
        </w:rPr>
        <w:t>/或被派遣单位</w:t>
      </w:r>
      <w:r>
        <w:rPr>
          <w:rFonts w:hint="eastAsia" w:ascii="仿宋" w:hAnsi="仿宋" w:eastAsia="仿宋"/>
          <w:sz w:val="32"/>
          <w:szCs w:val="32"/>
        </w:rPr>
        <w:t>所签订的劳动合同和/或履职证明文件、派遣单位与被派遣单位之间就派遣期间有关人员的工作成果归属、任职风险承担、绩效评价、薪酬确定及人员成本分摊等事宜签订的派遣协议；</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（三）派遣员工所取得的境外和境内所得情况，包括所得分类、各项所得金额及支付或承担方；</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（四）派遣员工在境外缴纳个人所得税的完税凭证和缴税证明；</w:t>
      </w:r>
    </w:p>
    <w:p>
      <w:pPr>
        <w:snapToGrid w:val="0"/>
        <w:spacing w:line="360" w:lineRule="auto"/>
        <w:ind w:firstLine="640" w:firstLineChars="200"/>
        <w:rPr>
          <w:rFonts w:ascii="仿宋" w:hAnsi="仿宋" w:eastAsia="仿宋"/>
          <w:b/>
          <w:sz w:val="32"/>
          <w:szCs w:val="32"/>
        </w:rPr>
      </w:pPr>
      <w:r>
        <w:rPr>
          <w:rFonts w:hint="eastAsia" w:ascii="仿宋" w:hAnsi="仿宋" w:eastAsia="仿宋"/>
          <w:sz w:val="32"/>
          <w:szCs w:val="32"/>
        </w:rPr>
        <w:t>（五）与派遣员工的个人所得税风险相关的其他信息。</w:t>
      </w:r>
    </w:p>
    <w:p>
      <w:pPr>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第四十五条</w:t>
      </w:r>
      <w:r>
        <w:rPr>
          <w:rFonts w:ascii="仿宋" w:hAnsi="仿宋" w:eastAsia="仿宋"/>
          <w:b/>
          <w:sz w:val="32"/>
          <w:szCs w:val="32"/>
        </w:rPr>
        <w:t xml:space="preserve"> </w:t>
      </w:r>
      <w:r>
        <w:rPr>
          <w:rFonts w:hint="eastAsia" w:ascii="仿宋" w:hAnsi="仿宋" w:eastAsia="仿宋"/>
          <w:sz w:val="32"/>
          <w:szCs w:val="32"/>
        </w:rPr>
        <w:t>涉税服务人员应根据中国相关个人所得税规定以及中国与被派遣国（地区</w:t>
      </w:r>
      <w:r>
        <w:rPr>
          <w:rFonts w:ascii="仿宋" w:hAnsi="仿宋" w:eastAsia="仿宋"/>
          <w:sz w:val="32"/>
          <w:szCs w:val="32"/>
        </w:rPr>
        <w:t>）</w:t>
      </w:r>
      <w:r>
        <w:rPr>
          <w:rFonts w:hint="eastAsia" w:ascii="仿宋" w:hAnsi="仿宋" w:eastAsia="仿宋"/>
          <w:sz w:val="32"/>
          <w:szCs w:val="32"/>
        </w:rPr>
        <w:t>所缔结的税收协定相关条款，结合派遣员工的薪酬安排、外派形式等情况，分析派遣员工的个人所得税风险，其中应重点关注如下事项：</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（一）根据中国与被派遣国（地区）所缔结的税收协定相关条款，分析被派遣国（地区）根据协定是否有权就派遣员工的境外所得征收个人所得税；</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（二）中国与被派遣国（地区）没有缔结税收协定的，应根据被派遣国（地区）生效的个人所得税相关的法律法规分析派遣员工在被派遣国（地区）应承担的纳税义务及履行纳税义务的合规程序；</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三）派遣期间薪酬安排，包括派遣员工是否在境内和境外同时取得薪酬、派遣员工在境内和/或境外取得薪酬的具体项目及各项薪酬的计算方法、派遣员工在派遣期间是否取得可变薪酬，包括佣金、提成、利润分配等、派遣员工在派遣期间是否取得薪酬性质的货币化或非货币化福利；</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（四）派遣期间员工的实际工作地点及其对应的时间记录；</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（五）派遣员工在境外是否缴纳个人所得税、以及在境外缴纳的个人所得税税额是否正确地从其中国应纳税额中抵扣或结转；</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（六）与派遣员工的个人所得税风险相关的其他事项。</w:t>
      </w:r>
    </w:p>
    <w:p>
      <w:pPr>
        <w:pStyle w:val="4"/>
        <w:snapToGrid w:val="0"/>
        <w:spacing w:before="0" w:after="0" w:line="360" w:lineRule="auto"/>
        <w:jc w:val="center"/>
        <w:rPr>
          <w:rFonts w:ascii="仿宋" w:hAnsi="仿宋" w:eastAsia="仿宋"/>
        </w:rPr>
      </w:pPr>
      <w:r>
        <w:rPr>
          <w:rFonts w:hint="eastAsia" w:ascii="仿宋" w:hAnsi="仿宋" w:eastAsia="仿宋"/>
        </w:rPr>
        <w:t>第八节 一般反避税风险管理</w:t>
      </w:r>
    </w:p>
    <w:p>
      <w:pPr>
        <w:ind w:firstLine="643" w:firstLineChars="200"/>
        <w:rPr>
          <w:rFonts w:ascii="仿宋" w:hAnsi="仿宋" w:eastAsia="仿宋"/>
          <w:sz w:val="32"/>
          <w:szCs w:val="32"/>
        </w:rPr>
      </w:pPr>
      <w:r>
        <w:rPr>
          <w:rFonts w:hint="eastAsia" w:ascii="仿宋" w:hAnsi="仿宋" w:eastAsia="仿宋"/>
          <w:b/>
          <w:sz w:val="32"/>
          <w:szCs w:val="32"/>
        </w:rPr>
        <w:t xml:space="preserve">第四十六条 </w:t>
      </w:r>
      <w:r>
        <w:rPr>
          <w:rFonts w:hint="eastAsia" w:ascii="仿宋" w:hAnsi="仿宋" w:eastAsia="仿宋"/>
          <w:sz w:val="32"/>
          <w:szCs w:val="32"/>
        </w:rPr>
        <w:t>一般反避税规则风险是指企业在境外投资过程中实施的业务安排被税务机关认定为不具有合理商业目的，并被要求按照合理方法对纳税人应纳税收入或者所得进行调整的风险。</w:t>
      </w:r>
    </w:p>
    <w:p>
      <w:pPr>
        <w:snapToGrid w:val="0"/>
        <w:spacing w:line="360" w:lineRule="auto"/>
        <w:ind w:firstLine="643" w:firstLineChars="200"/>
        <w:rPr>
          <w:rFonts w:ascii="仿宋" w:hAnsi="仿宋" w:eastAsia="仿宋"/>
          <w:kern w:val="0"/>
          <w:sz w:val="32"/>
          <w:szCs w:val="32"/>
        </w:rPr>
      </w:pPr>
      <w:r>
        <w:rPr>
          <w:rFonts w:hint="eastAsia" w:ascii="仿宋" w:hAnsi="仿宋" w:eastAsia="仿宋"/>
          <w:b/>
          <w:sz w:val="32"/>
          <w:szCs w:val="32"/>
        </w:rPr>
        <w:t xml:space="preserve">第四十七条 </w:t>
      </w:r>
      <w:r>
        <w:rPr>
          <w:rFonts w:hint="eastAsia" w:ascii="仿宋" w:hAnsi="仿宋" w:eastAsia="仿宋"/>
          <w:kern w:val="0"/>
          <w:sz w:val="32"/>
          <w:szCs w:val="32"/>
        </w:rPr>
        <w:t>涉税服务人员应当向委托人采集</w:t>
      </w:r>
      <w:r>
        <w:rPr>
          <w:rFonts w:hint="eastAsia" w:ascii="仿宋" w:hAnsi="仿宋" w:eastAsia="仿宋"/>
          <w:sz w:val="32"/>
          <w:szCs w:val="32"/>
        </w:rPr>
        <w:t>境外投资过程中实施的具体业务安排</w:t>
      </w:r>
      <w:r>
        <w:rPr>
          <w:rFonts w:hint="eastAsia" w:ascii="仿宋" w:hAnsi="仿宋" w:eastAsia="仿宋"/>
          <w:kern w:val="0"/>
          <w:sz w:val="32"/>
          <w:szCs w:val="32"/>
        </w:rPr>
        <w:t>所涉及的以下信息和资料，从而对一般反避税风险进行分析与判定：</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（一）境外投资活动参与各方的法律、财务和税务基本资料，包括法律注册文件、审计报告、财务报表、纳税申报表等；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（二）境外投资活动商业决策的参考信息，包括但不限于会议纪要、商业计划书、内部信息备忘录或书面沟通记录、外部顾问咨询报告、行业研究报告、统计数据/年鉴等；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（三）境外投资活动参与各方的股权关系和股权关系变化历史沿革、资金往来、经营往来、董事或高管委派情况或其他共同利益联系；</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（四）业务安排的合同及情况说明，包含交易类型、时间、金额、结算货币、交易条件、贸易形式、业务流程等信息；</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（五）业务安排中不同纳税主体执行的功能、承担的风险和使用的资产等信息；</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（六）业务安排中不同纳税主体与主管税局就具体交易、安排进行沟通的相关资料和记录，如税收裁定、往来信函等；</w:t>
      </w:r>
    </w:p>
    <w:p>
      <w:pPr>
        <w:snapToGri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（七）其他与境外投资及其业务安排相关的信息和资料。</w:t>
      </w:r>
    </w:p>
    <w:p>
      <w:pPr>
        <w:ind w:firstLine="643" w:firstLineChars="200"/>
        <w:rPr>
          <w:rFonts w:ascii="仿宋" w:hAnsi="仿宋" w:eastAsia="仿宋"/>
          <w:b/>
          <w:sz w:val="32"/>
          <w:szCs w:val="32"/>
        </w:rPr>
      </w:pPr>
      <w:r>
        <w:rPr>
          <w:rFonts w:hint="eastAsia" w:ascii="仿宋" w:hAnsi="仿宋" w:eastAsia="仿宋"/>
          <w:b/>
          <w:sz w:val="32"/>
          <w:szCs w:val="32"/>
        </w:rPr>
        <w:t xml:space="preserve">第四十八条 </w:t>
      </w:r>
      <w:r>
        <w:rPr>
          <w:rFonts w:hint="eastAsia" w:ascii="仿宋" w:hAnsi="仿宋" w:eastAsia="仿宋"/>
          <w:sz w:val="32"/>
          <w:szCs w:val="32"/>
        </w:rPr>
        <w:t>涉税服务人员应结合企业境外投资的具体安排，包括安排的形式和实质、安排订立的时间和执行期间、安排实现的方式、安排各个步骤或组成部分之间的联系、安排涉及各方财务状况的变化、安排的税收结果，分析相关安排是否会触发一般反避税规则的适用，其中应重点关注的事项包括但不限于：</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（一）是否存在信息或资料表明相关业务安排、股权架构或其他安排是以取得税收优惠待遇为主要目的或主要目的之一；</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（二）是否存在利用不同税收管辖区域针对特定</w:t>
      </w:r>
      <w:r>
        <w:rPr>
          <w:rFonts w:ascii="仿宋" w:hAnsi="仿宋" w:eastAsia="仿宋"/>
          <w:sz w:val="32"/>
          <w:szCs w:val="32"/>
        </w:rPr>
        <w:t>组织形式</w:t>
      </w:r>
      <w:r>
        <w:rPr>
          <w:rFonts w:hint="eastAsia" w:ascii="仿宋" w:hAnsi="仿宋" w:eastAsia="仿宋"/>
          <w:sz w:val="32"/>
          <w:szCs w:val="32"/>
        </w:rPr>
        <w:t>或款项安排的税务处理的差异以达到双重不征税或长期递延纳税的情形</w:t>
      </w:r>
      <w:r>
        <w:rPr>
          <w:rFonts w:ascii="仿宋" w:hAnsi="仿宋" w:eastAsia="仿宋"/>
          <w:sz w:val="32"/>
          <w:szCs w:val="32"/>
        </w:rPr>
        <w:t>；</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（三）是否存在信息或资料表明通过选择税收协定避税或其他协定策略获取正常情况下无法获取的税收优惠</w:t>
      </w:r>
      <w:r>
        <w:rPr>
          <w:rFonts w:ascii="仿宋" w:hAnsi="仿宋" w:eastAsia="仿宋"/>
          <w:sz w:val="32"/>
          <w:szCs w:val="32"/>
        </w:rPr>
        <w:t>；</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（四）是否存在足够的证明材料说明在避税港税收管辖区域设立实体具有充分的商业目的与合理性；</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（五）是否在境外投资中实施了与境内业务安排存在明显商业矛盾的业务安排；</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（六）是否在不同的税收管辖区域就同一业务安排提交了不同性质的说明或税务立场主张；</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（七）其它不具有合理商业目的的安排。</w:t>
      </w:r>
    </w:p>
    <w:p>
      <w:pPr>
        <w:pStyle w:val="3"/>
        <w:snapToGrid w:val="0"/>
        <w:spacing w:before="0" w:after="0" w:line="360" w:lineRule="auto"/>
      </w:pPr>
      <w:bookmarkStart w:id="28" w:name="_Toc14101246"/>
      <w:bookmarkStart w:id="29" w:name="_Toc14101506"/>
      <w:bookmarkStart w:id="30" w:name="_Toc14162822"/>
      <w:r>
        <w:rPr>
          <w:rFonts w:hint="eastAsia"/>
        </w:rPr>
        <w:t>第六章</w:t>
      </w:r>
      <w:r>
        <w:t xml:space="preserve">  </w:t>
      </w:r>
      <w:r>
        <w:rPr>
          <w:rFonts w:hint="eastAsia"/>
        </w:rPr>
        <w:t>附</w:t>
      </w:r>
      <w:r>
        <w:t xml:space="preserve">  则</w:t>
      </w:r>
      <w:bookmarkEnd w:id="28"/>
      <w:bookmarkEnd w:id="29"/>
      <w:bookmarkEnd w:id="30"/>
    </w:p>
    <w:p>
      <w:pPr>
        <w:widowControl/>
        <w:jc w:val="left"/>
        <w:rPr>
          <w:rFonts w:ascii="仿宋" w:hAnsi="仿宋" w:eastAsia="仿宋"/>
          <w:b/>
          <w:sz w:val="32"/>
          <w:szCs w:val="32"/>
        </w:rPr>
      </w:pPr>
      <w:r>
        <w:rPr>
          <w:rFonts w:ascii="仿宋" w:hAnsi="仿宋" w:eastAsia="仿宋"/>
          <w:b/>
          <w:kern w:val="0"/>
          <w:sz w:val="32"/>
          <w:szCs w:val="32"/>
        </w:rPr>
        <w:t>第</w:t>
      </w:r>
      <w:r>
        <w:rPr>
          <w:rFonts w:hint="eastAsia" w:ascii="仿宋" w:hAnsi="仿宋" w:eastAsia="仿宋"/>
          <w:b/>
          <w:kern w:val="0"/>
          <w:sz w:val="32"/>
          <w:szCs w:val="32"/>
        </w:rPr>
        <w:t>四十九</w:t>
      </w:r>
      <w:r>
        <w:rPr>
          <w:rFonts w:ascii="仿宋" w:hAnsi="仿宋" w:eastAsia="仿宋"/>
          <w:b/>
          <w:kern w:val="0"/>
          <w:sz w:val="32"/>
          <w:szCs w:val="32"/>
        </w:rPr>
        <w:t>条</w:t>
      </w:r>
      <w:r>
        <w:rPr>
          <w:rFonts w:hint="eastAsia" w:ascii="仿宋" w:hAnsi="仿宋" w:eastAsia="仿宋"/>
          <w:b/>
          <w:kern w:val="0"/>
          <w:sz w:val="32"/>
          <w:szCs w:val="32"/>
        </w:rPr>
        <w:t xml:space="preserve"> </w:t>
      </w:r>
      <w:r>
        <w:rPr>
          <w:rFonts w:ascii="仿宋" w:hAnsi="仿宋" w:eastAsia="仿宋"/>
          <w:kern w:val="0"/>
          <w:sz w:val="32"/>
          <w:szCs w:val="32"/>
        </w:rPr>
        <w:t>本</w:t>
      </w:r>
      <w:r>
        <w:rPr>
          <w:rFonts w:hint="eastAsia" w:ascii="仿宋" w:hAnsi="仿宋" w:eastAsia="仿宋"/>
          <w:kern w:val="0"/>
          <w:sz w:val="32"/>
          <w:szCs w:val="32"/>
        </w:rPr>
        <w:t>指引</w:t>
      </w:r>
      <w:r>
        <w:rPr>
          <w:rFonts w:ascii="仿宋" w:hAnsi="仿宋" w:eastAsia="仿宋"/>
          <w:kern w:val="0"/>
          <w:sz w:val="32"/>
          <w:szCs w:val="32"/>
        </w:rPr>
        <w:t>自</w:t>
      </w:r>
      <w:r>
        <w:rPr>
          <w:rFonts w:hint="eastAsia" w:ascii="仿宋" w:hAnsi="仿宋" w:eastAsia="仿宋"/>
          <w:kern w:val="0"/>
          <w:sz w:val="32"/>
          <w:szCs w:val="32"/>
        </w:rPr>
        <w:t>2020</w:t>
      </w:r>
      <w:r>
        <w:rPr>
          <w:rFonts w:ascii="仿宋" w:hAnsi="仿宋" w:eastAsia="仿宋"/>
          <w:kern w:val="0"/>
          <w:sz w:val="32"/>
          <w:szCs w:val="32"/>
        </w:rPr>
        <w:t>年</w:t>
      </w:r>
      <w:r>
        <w:rPr>
          <w:rFonts w:hint="eastAsia" w:ascii="仿宋" w:hAnsi="仿宋" w:eastAsia="仿宋"/>
          <w:kern w:val="0"/>
          <w:sz w:val="32"/>
          <w:szCs w:val="32"/>
        </w:rPr>
        <w:t>8</w:t>
      </w:r>
      <w:r>
        <w:rPr>
          <w:rFonts w:ascii="仿宋" w:hAnsi="仿宋" w:eastAsia="仿宋"/>
          <w:kern w:val="0"/>
          <w:sz w:val="32"/>
          <w:szCs w:val="32"/>
        </w:rPr>
        <w:t>月</w:t>
      </w:r>
      <w:r>
        <w:rPr>
          <w:rFonts w:hint="eastAsia" w:ascii="仿宋" w:hAnsi="仿宋" w:eastAsia="仿宋"/>
          <w:kern w:val="0"/>
          <w:sz w:val="32"/>
          <w:szCs w:val="32"/>
        </w:rPr>
        <w:t>1</w:t>
      </w:r>
      <w:r>
        <w:rPr>
          <w:rFonts w:ascii="仿宋" w:hAnsi="仿宋" w:eastAsia="仿宋"/>
          <w:kern w:val="0"/>
          <w:sz w:val="32"/>
          <w:szCs w:val="32"/>
        </w:rPr>
        <w:t>日起</w:t>
      </w:r>
      <w:r>
        <w:rPr>
          <w:rFonts w:hint="eastAsia" w:ascii="仿宋" w:hAnsi="仿宋" w:eastAsia="仿宋"/>
          <w:kern w:val="0"/>
          <w:sz w:val="32"/>
          <w:szCs w:val="32"/>
        </w:rPr>
        <w:t>试行</w:t>
      </w:r>
      <w:r>
        <w:rPr>
          <w:rFonts w:ascii="仿宋" w:hAnsi="仿宋" w:eastAsia="仿宋"/>
          <w:kern w:val="0"/>
          <w:sz w:val="32"/>
          <w:szCs w:val="32"/>
        </w:rPr>
        <w:t>。</w:t>
      </w:r>
      <w:r>
        <w:rPr>
          <w:rFonts w:ascii="仿宋" w:hAnsi="仿宋" w:eastAsia="仿宋"/>
          <w:b/>
          <w:sz w:val="32"/>
          <w:szCs w:val="32"/>
        </w:rPr>
        <w:br w:type="page"/>
      </w:r>
    </w:p>
    <w:p>
      <w:pPr>
        <w:spacing w:line="360" w:lineRule="auto"/>
        <w:jc w:val="left"/>
        <w:rPr>
          <w:rFonts w:ascii="仿宋" w:hAnsi="仿宋" w:eastAsia="仿宋"/>
          <w:b/>
          <w:kern w:val="0"/>
          <w:sz w:val="32"/>
          <w:szCs w:val="32"/>
        </w:rPr>
      </w:pPr>
      <w:r>
        <w:rPr>
          <w:rFonts w:hint="eastAsia" w:ascii="仿宋" w:hAnsi="仿宋" w:eastAsia="仿宋"/>
          <w:b/>
          <w:kern w:val="0"/>
          <w:sz w:val="32"/>
          <w:szCs w:val="32"/>
        </w:rPr>
        <w:t>附件：</w:t>
      </w:r>
    </w:p>
    <w:p>
      <w:pPr>
        <w:tabs>
          <w:tab w:val="right" w:pos="8306"/>
        </w:tabs>
        <w:adjustRightInd w:val="0"/>
        <w:spacing w:line="360" w:lineRule="auto"/>
        <w:ind w:firstLine="424" w:firstLineChars="132"/>
        <w:jc w:val="center"/>
        <w:rPr>
          <w:rFonts w:ascii="仿宋" w:hAnsi="仿宋" w:eastAsia="仿宋"/>
          <w:b/>
          <w:kern w:val="0"/>
          <w:sz w:val="32"/>
          <w:szCs w:val="32"/>
        </w:rPr>
      </w:pPr>
      <w:r>
        <w:rPr>
          <w:rFonts w:hint="eastAsia" w:ascii="仿宋" w:hAnsi="仿宋" w:eastAsia="仿宋"/>
          <w:b/>
          <w:kern w:val="0"/>
          <w:sz w:val="32"/>
          <w:szCs w:val="32"/>
        </w:rPr>
        <w:t>企业境外投资税务风险管理咨询业务报告</w:t>
      </w:r>
    </w:p>
    <w:p>
      <w:pPr>
        <w:tabs>
          <w:tab w:val="right" w:pos="8306"/>
        </w:tabs>
        <w:adjustRightInd w:val="0"/>
        <w:spacing w:line="360" w:lineRule="auto"/>
        <w:ind w:firstLine="424" w:firstLineChars="132"/>
        <w:jc w:val="center"/>
        <w:rPr>
          <w:rFonts w:ascii="仿宋" w:hAnsi="仿宋" w:eastAsia="仿宋"/>
          <w:b/>
          <w:kern w:val="0"/>
          <w:sz w:val="32"/>
          <w:szCs w:val="32"/>
        </w:rPr>
      </w:pPr>
      <w:r>
        <w:rPr>
          <w:rFonts w:hint="eastAsia" w:ascii="仿宋" w:hAnsi="仿宋" w:eastAsia="仿宋"/>
          <w:b/>
          <w:kern w:val="0"/>
          <w:sz w:val="32"/>
          <w:szCs w:val="32"/>
        </w:rPr>
        <w:t>（参考文本）</w:t>
      </w:r>
    </w:p>
    <w:p>
      <w:pPr>
        <w:tabs>
          <w:tab w:val="right" w:pos="8306"/>
        </w:tabs>
        <w:adjustRightInd w:val="0"/>
        <w:spacing w:line="360" w:lineRule="auto"/>
        <w:ind w:firstLine="424" w:firstLineChars="132"/>
        <w:jc w:val="center"/>
        <w:rPr>
          <w:rFonts w:ascii="仿宋" w:hAnsi="仿宋" w:eastAsia="仿宋"/>
          <w:b/>
          <w:kern w:val="0"/>
          <w:sz w:val="32"/>
          <w:szCs w:val="32"/>
        </w:rPr>
      </w:pPr>
    </w:p>
    <w:p>
      <w:pPr>
        <w:adjustRightInd w:val="0"/>
        <w:spacing w:line="360" w:lineRule="auto"/>
        <w:ind w:right="1080" w:firstLine="640" w:firstLineChars="200"/>
        <w:jc w:val="right"/>
        <w:rPr>
          <w:rFonts w:ascii="仿宋" w:hAnsi="仿宋" w:eastAsia="仿宋"/>
          <w:kern w:val="0"/>
          <w:sz w:val="32"/>
          <w:szCs w:val="32"/>
        </w:rPr>
      </w:pPr>
      <w:r>
        <w:rPr>
          <w:rFonts w:hint="eastAsia" w:ascii="仿宋" w:hAnsi="仿宋" w:eastAsia="仿宋"/>
          <w:kern w:val="0"/>
          <w:sz w:val="32"/>
          <w:szCs w:val="32"/>
        </w:rPr>
        <w:t>报告号：</w:t>
      </w:r>
    </w:p>
    <w:p>
      <w:pPr>
        <w:adjustRightInd w:val="0"/>
        <w:spacing w:line="360" w:lineRule="auto"/>
        <w:ind w:right="1080" w:firstLine="640" w:firstLineChars="200"/>
        <w:jc w:val="right"/>
        <w:rPr>
          <w:rFonts w:ascii="仿宋" w:hAnsi="仿宋" w:eastAsia="仿宋"/>
          <w:kern w:val="0"/>
          <w:sz w:val="32"/>
          <w:szCs w:val="32"/>
        </w:rPr>
      </w:pPr>
      <w:r>
        <w:rPr>
          <w:rFonts w:hint="eastAsia" w:ascii="仿宋" w:hAnsi="仿宋" w:eastAsia="仿宋"/>
          <w:kern w:val="0"/>
          <w:sz w:val="32"/>
          <w:szCs w:val="32"/>
        </w:rPr>
        <w:t>备案号：</w:t>
      </w:r>
    </w:p>
    <w:p>
      <w:pPr>
        <w:adjustRightInd w:val="0"/>
        <w:spacing w:line="360" w:lineRule="auto"/>
        <w:ind w:firstLine="640" w:firstLineChars="200"/>
        <w:rPr>
          <w:rFonts w:ascii="仿宋" w:hAnsi="仿宋" w:eastAsia="仿宋"/>
          <w:kern w:val="0"/>
          <w:sz w:val="32"/>
          <w:szCs w:val="32"/>
        </w:rPr>
      </w:pPr>
      <w:r>
        <w:rPr>
          <w:rFonts w:ascii="仿宋" w:hAnsi="仿宋" w:eastAsia="仿宋"/>
          <w:kern w:val="0"/>
          <w:sz w:val="32"/>
          <w:szCs w:val="32"/>
        </w:rPr>
        <w:t xml:space="preserve">_____ </w:t>
      </w:r>
      <w:r>
        <w:rPr>
          <w:rFonts w:hint="eastAsia" w:ascii="仿宋" w:hAnsi="仿宋" w:eastAsia="仿宋"/>
          <w:kern w:val="0"/>
          <w:sz w:val="32"/>
          <w:szCs w:val="32"/>
        </w:rPr>
        <w:t>：</w:t>
      </w:r>
    </w:p>
    <w:p>
      <w:pPr>
        <w:adjustRightIn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我们接受委托，对贵单位境外投资涉及的</w:t>
      </w:r>
      <w:r>
        <w:rPr>
          <w:rFonts w:ascii="仿宋" w:hAnsi="仿宋" w:eastAsia="仿宋"/>
          <w:kern w:val="0"/>
          <w:sz w:val="32"/>
          <w:szCs w:val="32"/>
          <w:u w:val="single"/>
        </w:rPr>
        <w:t xml:space="preserve">     </w:t>
      </w:r>
      <w:r>
        <w:rPr>
          <w:rFonts w:hint="eastAsia" w:ascii="仿宋" w:hAnsi="仿宋" w:eastAsia="仿宋"/>
          <w:kern w:val="0"/>
          <w:sz w:val="32"/>
          <w:szCs w:val="32"/>
        </w:rPr>
        <w:t>税务</w:t>
      </w:r>
      <w:r>
        <w:rPr>
          <w:rFonts w:ascii="仿宋" w:hAnsi="仿宋" w:eastAsia="仿宋"/>
          <w:kern w:val="0"/>
          <w:sz w:val="32"/>
          <w:szCs w:val="32"/>
          <w:u w:val="single"/>
        </w:rPr>
        <w:t xml:space="preserve">               </w:t>
      </w:r>
      <w:r>
        <w:rPr>
          <w:rFonts w:ascii="仿宋" w:hAnsi="仿宋" w:eastAsia="仿宋"/>
          <w:kern w:val="0"/>
          <w:sz w:val="32"/>
          <w:szCs w:val="32"/>
        </w:rPr>
        <w:t>事项进行</w:t>
      </w:r>
      <w:r>
        <w:rPr>
          <w:rFonts w:hint="eastAsia" w:ascii="仿宋" w:hAnsi="仿宋" w:eastAsia="仿宋"/>
          <w:kern w:val="0"/>
          <w:sz w:val="32"/>
          <w:szCs w:val="32"/>
        </w:rPr>
        <w:t>分析</w:t>
      </w:r>
      <w:r>
        <w:rPr>
          <w:rFonts w:ascii="仿宋" w:hAnsi="仿宋" w:eastAsia="仿宋"/>
          <w:kern w:val="0"/>
          <w:sz w:val="32"/>
          <w:szCs w:val="32"/>
        </w:rPr>
        <w:t>，</w:t>
      </w:r>
      <w:r>
        <w:rPr>
          <w:rFonts w:hint="eastAsia" w:ascii="仿宋" w:hAnsi="仿宋" w:eastAsia="仿宋"/>
          <w:kern w:val="0"/>
          <w:sz w:val="32"/>
          <w:szCs w:val="32"/>
        </w:rPr>
        <w:t>并针对有关税务风险管理措施提供咨询意见</w:t>
      </w:r>
      <w:r>
        <w:rPr>
          <w:rFonts w:ascii="仿宋" w:hAnsi="仿宋" w:eastAsia="仿宋"/>
          <w:kern w:val="0"/>
          <w:sz w:val="32"/>
          <w:szCs w:val="32"/>
        </w:rPr>
        <w:t>，</w:t>
      </w:r>
      <w:r>
        <w:rPr>
          <w:rFonts w:hint="eastAsia" w:ascii="仿宋" w:hAnsi="仿宋" w:eastAsia="仿宋"/>
          <w:kern w:val="0"/>
          <w:sz w:val="32"/>
          <w:szCs w:val="32"/>
        </w:rPr>
        <w:t>同时</w:t>
      </w:r>
      <w:r>
        <w:rPr>
          <w:rFonts w:ascii="仿宋" w:hAnsi="仿宋" w:eastAsia="仿宋"/>
          <w:kern w:val="0"/>
          <w:sz w:val="32"/>
          <w:szCs w:val="32"/>
        </w:rPr>
        <w:t>出具</w:t>
      </w:r>
      <w:r>
        <w:rPr>
          <w:rFonts w:hint="eastAsia" w:ascii="仿宋" w:hAnsi="仿宋" w:eastAsia="仿宋"/>
          <w:kern w:val="0"/>
          <w:sz w:val="32"/>
          <w:szCs w:val="32"/>
        </w:rPr>
        <w:t>企业境外投资</w:t>
      </w:r>
      <w:r>
        <w:rPr>
          <w:rFonts w:hint="eastAsia" w:ascii="仿宋" w:hAnsi="仿宋" w:eastAsia="仿宋"/>
          <w:kern w:val="0"/>
          <w:sz w:val="32"/>
          <w:szCs w:val="32"/>
          <w:u w:val="single"/>
        </w:rPr>
        <w:t xml:space="preserve">       </w:t>
      </w:r>
      <w:r>
        <w:rPr>
          <w:rFonts w:hint="eastAsia" w:ascii="仿宋" w:hAnsi="仿宋" w:eastAsia="仿宋"/>
          <w:kern w:val="0"/>
          <w:sz w:val="32"/>
          <w:szCs w:val="32"/>
        </w:rPr>
        <w:t>税务风险管理咨询</w:t>
      </w:r>
      <w:r>
        <w:rPr>
          <w:rFonts w:ascii="仿宋" w:hAnsi="仿宋" w:eastAsia="仿宋"/>
          <w:kern w:val="0"/>
          <w:sz w:val="32"/>
          <w:szCs w:val="32"/>
        </w:rPr>
        <w:t>报告。</w:t>
      </w:r>
    </w:p>
    <w:p>
      <w:pPr>
        <w:adjustRightIn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贵单位的责任是，及时提供与境外投资相关的资料，包括但不限于委托人和/或境外投资项目的股权架构、组织架构、财务数据、纳税申报资料、内部管理信息等，并保证其真实、准确、完整和合法。</w:t>
      </w:r>
    </w:p>
    <w:p>
      <w:pPr>
        <w:adjustRightIn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我们的责任是，本着独立、客观、公正的原则，依据企业境外投资涉及的相关税法法规和政策，对贵单位进行境外投资过程中涉及的</w:t>
      </w:r>
      <w:r>
        <w:rPr>
          <w:rFonts w:ascii="仿宋" w:hAnsi="仿宋" w:eastAsia="仿宋"/>
          <w:kern w:val="0"/>
          <w:sz w:val="32"/>
          <w:szCs w:val="32"/>
          <w:u w:val="single"/>
        </w:rPr>
        <w:t xml:space="preserve">            </w:t>
      </w:r>
      <w:r>
        <w:rPr>
          <w:rFonts w:hint="eastAsia" w:ascii="仿宋" w:hAnsi="仿宋" w:eastAsia="仿宋"/>
          <w:kern w:val="0"/>
          <w:sz w:val="32"/>
          <w:szCs w:val="32"/>
        </w:rPr>
        <w:t>税务风险事项提出管理措施的建议，并出具管理咨询报告。</w:t>
      </w:r>
    </w:p>
    <w:p>
      <w:pPr>
        <w:adjustRightIn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在服务过程中，我们对贵单位相关负责人进行针对性访谈并对所收集的信息和资料进行复核及整理，并根据贵单位现有或拟议境外投资项目所处阶段（即投资前或投资后），分析不同投资阶段税务风险管理应重点考虑的内容。同时，我们研读了相关的税收政策、法规及税收协定条款，确定政策法规的引用和基础后，对境外投资项目可能涉及的税务风险进行分析，包括性质分析和量化评价，结合贵单位的商业计划、安排和风险管控目标，建议贵单位考虑采取以下税务风险管控措施或预案。现将服务结果报告如下：</w:t>
      </w:r>
    </w:p>
    <w:p>
      <w:pPr>
        <w:pStyle w:val="24"/>
        <w:numPr>
          <w:ilvl w:val="0"/>
          <w:numId w:val="2"/>
        </w:numPr>
        <w:adjustRightInd w:val="0"/>
        <w:spacing w:line="360" w:lineRule="auto"/>
        <w:ind w:firstLineChars="0"/>
        <w:rPr>
          <w:rFonts w:ascii="仿宋" w:hAnsi="仿宋" w:eastAsia="仿宋" w:cs="Arial"/>
          <w:kern w:val="0"/>
          <w:sz w:val="32"/>
          <w:szCs w:val="32"/>
        </w:rPr>
      </w:pPr>
      <w:r>
        <w:rPr>
          <w:rFonts w:hint="eastAsia" w:ascii="仿宋" w:hAnsi="仿宋" w:eastAsia="仿宋" w:cs="Arial"/>
          <w:kern w:val="0"/>
          <w:sz w:val="32"/>
          <w:szCs w:val="32"/>
        </w:rPr>
        <w:t>我们的理解</w:t>
      </w:r>
    </w:p>
    <w:p>
      <w:pPr>
        <w:adjustRightInd w:val="0"/>
        <w:spacing w:line="360" w:lineRule="auto"/>
        <w:ind w:firstLine="960" w:firstLineChars="300"/>
        <w:rPr>
          <w:rFonts w:ascii="仿宋" w:hAnsi="仿宋" w:eastAsia="仿宋" w:cs="Arial"/>
          <w:kern w:val="0"/>
          <w:sz w:val="32"/>
          <w:szCs w:val="32"/>
        </w:rPr>
      </w:pPr>
      <w:r>
        <w:rPr>
          <w:rFonts w:hint="eastAsia" w:ascii="仿宋" w:hAnsi="仿宋" w:eastAsia="仿宋" w:cs="Arial"/>
          <w:kern w:val="0"/>
          <w:sz w:val="32"/>
          <w:szCs w:val="32"/>
        </w:rPr>
        <w:t>【对业务委托人、委托人境外投资项目所涉实体股权结构、项目主要商业活动等背景情况进行介绍。】</w:t>
      </w:r>
    </w:p>
    <w:p>
      <w:pPr>
        <w:pStyle w:val="24"/>
        <w:numPr>
          <w:ilvl w:val="0"/>
          <w:numId w:val="2"/>
        </w:numPr>
        <w:adjustRightInd w:val="0"/>
        <w:spacing w:line="360" w:lineRule="auto"/>
        <w:ind w:firstLineChars="0"/>
        <w:rPr>
          <w:rFonts w:ascii="仿宋" w:hAnsi="仿宋" w:eastAsia="仿宋" w:cs="Arial"/>
          <w:kern w:val="0"/>
          <w:sz w:val="32"/>
          <w:szCs w:val="32"/>
        </w:rPr>
      </w:pPr>
      <w:r>
        <w:rPr>
          <w:rFonts w:hint="eastAsia" w:ascii="仿宋" w:hAnsi="仿宋" w:eastAsia="仿宋" w:cs="Arial"/>
          <w:kern w:val="0"/>
          <w:sz w:val="32"/>
          <w:szCs w:val="32"/>
        </w:rPr>
        <w:t>税务风险事项定性分析</w:t>
      </w:r>
    </w:p>
    <w:p>
      <w:pPr>
        <w:adjustRightInd w:val="0"/>
        <w:spacing w:line="360" w:lineRule="auto"/>
        <w:ind w:firstLine="861"/>
        <w:rPr>
          <w:rFonts w:ascii="仿宋" w:hAnsi="仿宋" w:eastAsia="仿宋"/>
          <w:kern w:val="0"/>
          <w:sz w:val="32"/>
          <w:szCs w:val="32"/>
        </w:rPr>
      </w:pPr>
      <w:r>
        <w:rPr>
          <w:rFonts w:hint="eastAsia" w:ascii="仿宋" w:hAnsi="仿宋" w:eastAsia="仿宋"/>
          <w:kern w:val="0"/>
          <w:sz w:val="32"/>
          <w:szCs w:val="32"/>
        </w:rPr>
        <w:t>【结合所取得的资料和信息，提出分析思路，识别委托人在境外投资过程中可能涉及的潜在税务风险，结合该事项的相关税法规定，对可能产生的影响进行阐述。】</w:t>
      </w:r>
    </w:p>
    <w:p>
      <w:pPr>
        <w:pStyle w:val="24"/>
        <w:numPr>
          <w:ilvl w:val="0"/>
          <w:numId w:val="2"/>
        </w:numPr>
        <w:adjustRightInd w:val="0"/>
        <w:spacing w:line="360" w:lineRule="auto"/>
        <w:ind w:firstLineChars="0"/>
        <w:rPr>
          <w:rFonts w:ascii="仿宋" w:hAnsi="仿宋" w:eastAsia="仿宋" w:cs="Arial"/>
          <w:kern w:val="0"/>
          <w:sz w:val="32"/>
          <w:szCs w:val="32"/>
        </w:rPr>
      </w:pPr>
      <w:r>
        <w:rPr>
          <w:rFonts w:hint="eastAsia" w:ascii="仿宋" w:hAnsi="仿宋" w:eastAsia="仿宋" w:cs="Arial"/>
          <w:kern w:val="0"/>
          <w:sz w:val="32"/>
          <w:szCs w:val="32"/>
        </w:rPr>
        <w:t>税务风险事项定量分析</w:t>
      </w:r>
    </w:p>
    <w:p>
      <w:pPr>
        <w:ind w:firstLine="861"/>
        <w:rPr>
          <w:rFonts w:ascii="仿宋" w:hAnsi="仿宋" w:eastAsia="仿宋"/>
          <w:kern w:val="0"/>
          <w:sz w:val="32"/>
          <w:szCs w:val="32"/>
        </w:rPr>
      </w:pPr>
      <w:r>
        <w:rPr>
          <w:rFonts w:hint="eastAsia" w:ascii="仿宋" w:hAnsi="仿宋" w:eastAsia="仿宋"/>
          <w:kern w:val="0"/>
          <w:sz w:val="32"/>
          <w:szCs w:val="32"/>
        </w:rPr>
        <w:t>【在相关资料和信息可靠获取的前提下，基于委托人提供的信息对所识别的潜在税务风险进行量化分析，包括但不限于税务影响估算、模拟税负分析、税务相关敏感性分析等】</w:t>
      </w:r>
    </w:p>
    <w:p>
      <w:pPr>
        <w:pStyle w:val="24"/>
        <w:numPr>
          <w:ilvl w:val="0"/>
          <w:numId w:val="2"/>
        </w:numPr>
        <w:adjustRightInd w:val="0"/>
        <w:spacing w:line="360" w:lineRule="auto"/>
        <w:ind w:firstLineChars="0"/>
        <w:rPr>
          <w:rFonts w:ascii="仿宋" w:hAnsi="仿宋" w:eastAsia="仿宋" w:cs="Arial"/>
          <w:kern w:val="0"/>
          <w:sz w:val="32"/>
          <w:szCs w:val="32"/>
        </w:rPr>
      </w:pPr>
      <w:r>
        <w:rPr>
          <w:rFonts w:hint="eastAsia" w:ascii="仿宋" w:hAnsi="仿宋" w:eastAsia="仿宋" w:cs="Arial"/>
          <w:kern w:val="0"/>
          <w:sz w:val="32"/>
          <w:szCs w:val="32"/>
        </w:rPr>
        <w:t>改进方案及建议</w:t>
      </w:r>
    </w:p>
    <w:p>
      <w:pPr>
        <w:ind w:firstLine="861"/>
        <w:rPr>
          <w:rFonts w:ascii="仿宋" w:hAnsi="仿宋" w:eastAsia="仿宋"/>
          <w:kern w:val="0"/>
          <w:sz w:val="32"/>
          <w:szCs w:val="32"/>
        </w:rPr>
      </w:pPr>
      <w:r>
        <w:rPr>
          <w:rFonts w:hint="eastAsia" w:ascii="仿宋" w:hAnsi="仿宋" w:eastAsia="仿宋"/>
          <w:kern w:val="0"/>
          <w:sz w:val="32"/>
          <w:szCs w:val="32"/>
        </w:rPr>
        <w:t>【结合上述定性分析和定量分析，结合委托人的商业安排，提出境外投资税务风险管理建议。】</w:t>
      </w:r>
    </w:p>
    <w:p>
      <w:pPr>
        <w:pStyle w:val="24"/>
        <w:numPr>
          <w:ilvl w:val="0"/>
          <w:numId w:val="2"/>
        </w:numPr>
        <w:adjustRightInd w:val="0"/>
        <w:spacing w:line="360" w:lineRule="auto"/>
        <w:ind w:firstLineChars="0"/>
        <w:rPr>
          <w:rFonts w:ascii="仿宋" w:hAnsi="仿宋" w:eastAsia="仿宋" w:cs="Arial"/>
          <w:kern w:val="0"/>
          <w:sz w:val="32"/>
          <w:szCs w:val="32"/>
        </w:rPr>
      </w:pPr>
      <w:r>
        <w:rPr>
          <w:rFonts w:hint="eastAsia" w:ascii="仿宋" w:hAnsi="仿宋" w:eastAsia="仿宋" w:cs="Arial"/>
          <w:kern w:val="0"/>
          <w:sz w:val="32"/>
          <w:szCs w:val="32"/>
        </w:rPr>
        <w:t>免责声明</w:t>
      </w:r>
    </w:p>
    <w:p>
      <w:pPr>
        <w:ind w:firstLine="861"/>
        <w:rPr>
          <w:rFonts w:ascii="仿宋" w:hAnsi="仿宋" w:eastAsia="仿宋"/>
          <w:kern w:val="0"/>
          <w:sz w:val="32"/>
          <w:szCs w:val="32"/>
        </w:rPr>
      </w:pPr>
      <w:r>
        <w:rPr>
          <w:rFonts w:hint="eastAsia" w:ascii="仿宋" w:hAnsi="仿宋" w:eastAsia="仿宋"/>
          <w:kern w:val="0"/>
          <w:sz w:val="32"/>
          <w:szCs w:val="32"/>
        </w:rPr>
        <w:t>【根据税务师事务所的内部风控要求添加免责条款。】</w:t>
      </w:r>
    </w:p>
    <w:p>
      <w:pPr>
        <w:rPr>
          <w:rFonts w:ascii="仿宋" w:hAnsi="仿宋" w:eastAsia="仿宋"/>
          <w:kern w:val="0"/>
          <w:sz w:val="32"/>
          <w:szCs w:val="32"/>
        </w:rPr>
      </w:pPr>
    </w:p>
    <w:p>
      <w:pPr>
        <w:adjustRightInd w:val="0"/>
        <w:spacing w:line="360" w:lineRule="auto"/>
        <w:ind w:firstLine="200"/>
        <w:rPr>
          <w:rFonts w:ascii="仿宋" w:hAnsi="仿宋" w:eastAsia="仿宋"/>
          <w:kern w:val="0"/>
          <w:sz w:val="32"/>
          <w:szCs w:val="32"/>
        </w:rPr>
      </w:pPr>
      <w:r>
        <w:rPr>
          <w:rFonts w:hint="eastAsia" w:ascii="仿宋" w:hAnsi="仿宋" w:eastAsia="仿宋"/>
          <w:kern w:val="0"/>
          <w:sz w:val="32"/>
          <w:szCs w:val="32"/>
        </w:rPr>
        <w:t>涉税服务人员：（签章）</w:t>
      </w:r>
    </w:p>
    <w:p>
      <w:pPr>
        <w:adjustRightInd w:val="0"/>
        <w:spacing w:line="360" w:lineRule="auto"/>
        <w:ind w:firstLine="200"/>
        <w:rPr>
          <w:rFonts w:ascii="仿宋" w:hAnsi="仿宋" w:eastAsia="仿宋"/>
          <w:kern w:val="0"/>
          <w:sz w:val="32"/>
          <w:szCs w:val="32"/>
        </w:rPr>
      </w:pPr>
      <w:r>
        <w:rPr>
          <w:rFonts w:hint="eastAsia" w:ascii="仿宋" w:hAnsi="仿宋" w:eastAsia="仿宋"/>
          <w:kern w:val="0"/>
          <w:sz w:val="32"/>
          <w:szCs w:val="32"/>
        </w:rPr>
        <w:t>法人代表：（签章）</w:t>
      </w:r>
      <w:r>
        <w:rPr>
          <w:rFonts w:hint="eastAsia" w:ascii="宋体" w:hAnsi="宋体"/>
          <w:kern w:val="0"/>
          <w:sz w:val="32"/>
          <w:szCs w:val="32"/>
        </w:rPr>
        <w:t> </w:t>
      </w:r>
      <w:r>
        <w:rPr>
          <w:rFonts w:ascii="仿宋" w:hAnsi="仿宋" w:eastAsia="仿宋"/>
          <w:kern w:val="0"/>
          <w:sz w:val="32"/>
          <w:szCs w:val="32"/>
        </w:rPr>
        <w:tab/>
      </w:r>
    </w:p>
    <w:p>
      <w:pPr>
        <w:adjustRightInd w:val="0"/>
        <w:spacing w:line="360" w:lineRule="auto"/>
        <w:ind w:firstLine="200"/>
        <w:rPr>
          <w:rFonts w:ascii="仿宋" w:hAnsi="仿宋" w:eastAsia="仿宋"/>
          <w:kern w:val="0"/>
          <w:sz w:val="32"/>
          <w:szCs w:val="32"/>
        </w:rPr>
      </w:pPr>
    </w:p>
    <w:p>
      <w:pPr>
        <w:adjustRightInd w:val="0"/>
        <w:spacing w:line="360" w:lineRule="auto"/>
        <w:ind w:firstLine="200"/>
        <w:rPr>
          <w:rFonts w:ascii="仿宋" w:hAnsi="仿宋" w:eastAsia="仿宋"/>
          <w:kern w:val="0"/>
          <w:sz w:val="32"/>
          <w:szCs w:val="32"/>
        </w:rPr>
      </w:pPr>
      <w:r>
        <w:rPr>
          <w:rFonts w:hint="eastAsia" w:ascii="仿宋" w:hAnsi="仿宋" w:eastAsia="仿宋"/>
          <w:kern w:val="0"/>
          <w:sz w:val="32"/>
          <w:szCs w:val="32"/>
        </w:rPr>
        <w:t>税务师事务所（盖章）</w:t>
      </w:r>
    </w:p>
    <w:p>
      <w:pPr>
        <w:adjustRightInd w:val="0"/>
        <w:spacing w:line="360" w:lineRule="auto"/>
        <w:ind w:firstLine="200"/>
        <w:rPr>
          <w:rFonts w:ascii="仿宋" w:hAnsi="仿宋" w:eastAsia="仿宋"/>
          <w:kern w:val="0"/>
          <w:sz w:val="32"/>
          <w:szCs w:val="32"/>
        </w:rPr>
      </w:pPr>
      <w:r>
        <w:rPr>
          <w:rFonts w:hint="eastAsia" w:ascii="仿宋" w:hAnsi="仿宋" w:eastAsia="仿宋"/>
          <w:kern w:val="0"/>
          <w:sz w:val="32"/>
          <w:szCs w:val="32"/>
        </w:rPr>
        <w:t>地址：</w:t>
      </w:r>
      <w:r>
        <w:rPr>
          <w:rFonts w:ascii="仿宋" w:hAnsi="仿宋" w:eastAsia="仿宋"/>
          <w:kern w:val="0"/>
          <w:sz w:val="32"/>
          <w:szCs w:val="32"/>
        </w:rPr>
        <w:t xml:space="preserve"> </w:t>
      </w:r>
    </w:p>
    <w:p>
      <w:pPr>
        <w:adjustRightInd w:val="0"/>
        <w:spacing w:line="360" w:lineRule="auto"/>
        <w:ind w:firstLine="200"/>
        <w:rPr>
          <w:rFonts w:ascii="仿宋" w:hAnsi="仿宋" w:eastAsia="仿宋"/>
          <w:kern w:val="0"/>
          <w:sz w:val="32"/>
          <w:szCs w:val="32"/>
        </w:rPr>
      </w:pPr>
      <w:r>
        <w:rPr>
          <w:rFonts w:hint="eastAsia" w:ascii="仿宋" w:hAnsi="仿宋" w:eastAsia="仿宋"/>
          <w:kern w:val="0"/>
          <w:sz w:val="32"/>
          <w:szCs w:val="32"/>
        </w:rPr>
        <w:t>日期：</w:t>
      </w:r>
    </w:p>
    <w:p>
      <w:pPr>
        <w:widowControl/>
        <w:jc w:val="left"/>
        <w:rPr>
          <w:rFonts w:ascii="仿宋" w:hAnsi="仿宋" w:eastAsia="仿宋"/>
          <w:kern w:val="0"/>
          <w:sz w:val="32"/>
          <w:szCs w:val="32"/>
        </w:rPr>
      </w:pPr>
    </w:p>
    <w:p>
      <w:pPr>
        <w:snapToGrid w:val="0"/>
        <w:spacing w:line="360" w:lineRule="auto"/>
        <w:rPr>
          <w:rFonts w:ascii="仿宋" w:hAnsi="仿宋" w:eastAsia="仿宋"/>
          <w:b/>
          <w:sz w:val="32"/>
          <w:szCs w:val="32"/>
        </w:rPr>
      </w:pPr>
    </w:p>
    <w:p>
      <w:pPr>
        <w:widowControl/>
        <w:snapToGrid w:val="0"/>
        <w:spacing w:line="360" w:lineRule="auto"/>
        <w:jc w:val="left"/>
        <w:rPr>
          <w:rFonts w:ascii="仿宋" w:hAnsi="仿宋" w:eastAsia="仿宋"/>
          <w:color w:val="000000"/>
          <w:sz w:val="32"/>
          <w:szCs w:val="3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swiss"/>
    <w:pitch w:val="default"/>
    <w:sig w:usb0="E10022FF" w:usb1="C000E47F" w:usb2="00000029" w:usb3="00000000" w:csb0="200001DF" w:csb1="2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9315065"/>
      <w:docPartObj>
        <w:docPartGallery w:val="AutoText"/>
      </w:docPartObj>
    </w:sdtPr>
    <w:sdtContent>
      <w:p>
        <w:pPr>
          <w:pStyle w:val="7"/>
          <w:jc w:val="center"/>
        </w:pPr>
        <w:r>
          <w:fldChar w:fldCharType="begin"/>
        </w:r>
        <w:r>
          <w:instrText xml:space="preserve"> PAGE   \* MERGEFORMAT </w:instrText>
        </w:r>
        <w:r>
          <w:fldChar w:fldCharType="separate"/>
        </w:r>
        <w:r>
          <w:t>27</w:t>
        </w:r>
        <w: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EB681F"/>
    <w:multiLevelType w:val="multilevel"/>
    <w:tmpl w:val="3FEB681F"/>
    <w:lvl w:ilvl="0" w:tentative="0">
      <w:start w:val="1"/>
      <w:numFmt w:val="bullet"/>
      <w:pStyle w:val="2"/>
      <w:lvlText w:val=""/>
      <w:lvlJc w:val="left"/>
      <w:pPr>
        <w:ind w:left="1695" w:hanging="420"/>
      </w:pPr>
      <w:rPr>
        <w:rFonts w:hint="default" w:ascii="Wingdings" w:hAnsi="Wingdings"/>
      </w:rPr>
    </w:lvl>
    <w:lvl w:ilvl="1" w:tentative="0">
      <w:start w:val="1"/>
      <w:numFmt w:val="bullet"/>
      <w:lvlText w:val=""/>
      <w:lvlJc w:val="left"/>
      <w:pPr>
        <w:ind w:left="2115" w:hanging="420"/>
      </w:pPr>
      <w:rPr>
        <w:rFonts w:hint="default" w:ascii="Wingdings" w:hAnsi="Wingdings"/>
      </w:rPr>
    </w:lvl>
    <w:lvl w:ilvl="2" w:tentative="0">
      <w:start w:val="1"/>
      <w:numFmt w:val="bullet"/>
      <w:lvlText w:val=""/>
      <w:lvlJc w:val="left"/>
      <w:pPr>
        <w:ind w:left="2535" w:hanging="420"/>
      </w:pPr>
      <w:rPr>
        <w:rFonts w:hint="default" w:ascii="Wingdings" w:hAnsi="Wingdings"/>
      </w:rPr>
    </w:lvl>
    <w:lvl w:ilvl="3" w:tentative="0">
      <w:start w:val="1"/>
      <w:numFmt w:val="decimal"/>
      <w:suff w:val="space"/>
      <w:lvlText w:val="%4."/>
      <w:lvlJc w:val="left"/>
      <w:pPr>
        <w:ind w:left="2955" w:hanging="420"/>
      </w:pPr>
      <w:rPr>
        <w:rFonts w:hint="eastAsia"/>
      </w:rPr>
    </w:lvl>
    <w:lvl w:ilvl="4" w:tentative="0">
      <w:start w:val="1"/>
      <w:numFmt w:val="bullet"/>
      <w:lvlText w:val=""/>
      <w:lvlJc w:val="left"/>
      <w:pPr>
        <w:ind w:left="3375" w:hanging="420"/>
      </w:pPr>
      <w:rPr>
        <w:rFonts w:hint="default" w:ascii="Wingdings" w:hAnsi="Wingdings"/>
      </w:rPr>
    </w:lvl>
    <w:lvl w:ilvl="5" w:tentative="0">
      <w:start w:val="1"/>
      <w:numFmt w:val="bullet"/>
      <w:lvlText w:val=""/>
      <w:lvlJc w:val="left"/>
      <w:pPr>
        <w:ind w:left="3795" w:hanging="420"/>
      </w:pPr>
      <w:rPr>
        <w:rFonts w:hint="default" w:ascii="Wingdings" w:hAnsi="Wingdings"/>
      </w:rPr>
    </w:lvl>
    <w:lvl w:ilvl="6" w:tentative="0">
      <w:start w:val="1"/>
      <w:numFmt w:val="bullet"/>
      <w:lvlText w:val=""/>
      <w:lvlJc w:val="left"/>
      <w:pPr>
        <w:ind w:left="4215" w:hanging="420"/>
      </w:pPr>
      <w:rPr>
        <w:rFonts w:hint="default" w:ascii="Wingdings" w:hAnsi="Wingdings"/>
      </w:rPr>
    </w:lvl>
    <w:lvl w:ilvl="7" w:tentative="0">
      <w:start w:val="1"/>
      <w:numFmt w:val="bullet"/>
      <w:lvlText w:val=""/>
      <w:lvlJc w:val="left"/>
      <w:pPr>
        <w:ind w:left="4635" w:hanging="420"/>
      </w:pPr>
      <w:rPr>
        <w:rFonts w:hint="default" w:ascii="Wingdings" w:hAnsi="Wingdings"/>
      </w:rPr>
    </w:lvl>
    <w:lvl w:ilvl="8" w:tentative="0">
      <w:start w:val="1"/>
      <w:numFmt w:val="bullet"/>
      <w:lvlText w:val=""/>
      <w:lvlJc w:val="left"/>
      <w:pPr>
        <w:ind w:left="5055" w:hanging="420"/>
      </w:pPr>
      <w:rPr>
        <w:rFonts w:hint="default" w:ascii="Wingdings" w:hAnsi="Wingdings"/>
      </w:rPr>
    </w:lvl>
  </w:abstractNum>
  <w:abstractNum w:abstractNumId="1">
    <w:nsid w:val="578B40F0"/>
    <w:multiLevelType w:val="multilevel"/>
    <w:tmpl w:val="578B40F0"/>
    <w:lvl w:ilvl="0" w:tentative="0">
      <w:start w:val="1"/>
      <w:numFmt w:val="japaneseCounting"/>
      <w:lvlText w:val="%1、"/>
      <w:lvlJc w:val="left"/>
      <w:pPr>
        <w:ind w:left="861" w:hanging="720"/>
      </w:pPr>
      <w:rPr>
        <w:rFonts w:hint="default"/>
      </w:rPr>
    </w:lvl>
    <w:lvl w:ilvl="1" w:tentative="0">
      <w:start w:val="1"/>
      <w:numFmt w:val="lowerLetter"/>
      <w:lvlText w:val="%2)"/>
      <w:lvlJc w:val="left"/>
      <w:pPr>
        <w:ind w:left="981" w:hanging="420"/>
      </w:pPr>
    </w:lvl>
    <w:lvl w:ilvl="2" w:tentative="0">
      <w:start w:val="1"/>
      <w:numFmt w:val="lowerRoman"/>
      <w:lvlText w:val="%3."/>
      <w:lvlJc w:val="right"/>
      <w:pPr>
        <w:ind w:left="1401" w:hanging="420"/>
      </w:pPr>
    </w:lvl>
    <w:lvl w:ilvl="3" w:tentative="0">
      <w:start w:val="1"/>
      <w:numFmt w:val="decimal"/>
      <w:lvlText w:val="%4."/>
      <w:lvlJc w:val="left"/>
      <w:pPr>
        <w:ind w:left="1821" w:hanging="420"/>
      </w:pPr>
    </w:lvl>
    <w:lvl w:ilvl="4" w:tentative="0">
      <w:start w:val="1"/>
      <w:numFmt w:val="lowerLetter"/>
      <w:lvlText w:val="%5)"/>
      <w:lvlJc w:val="left"/>
      <w:pPr>
        <w:ind w:left="2241" w:hanging="420"/>
      </w:pPr>
    </w:lvl>
    <w:lvl w:ilvl="5" w:tentative="0">
      <w:start w:val="1"/>
      <w:numFmt w:val="lowerRoman"/>
      <w:lvlText w:val="%6."/>
      <w:lvlJc w:val="right"/>
      <w:pPr>
        <w:ind w:left="2661" w:hanging="420"/>
      </w:pPr>
    </w:lvl>
    <w:lvl w:ilvl="6" w:tentative="0">
      <w:start w:val="1"/>
      <w:numFmt w:val="decimal"/>
      <w:lvlText w:val="%7."/>
      <w:lvlJc w:val="left"/>
      <w:pPr>
        <w:ind w:left="3081" w:hanging="420"/>
      </w:pPr>
    </w:lvl>
    <w:lvl w:ilvl="7" w:tentative="0">
      <w:start w:val="1"/>
      <w:numFmt w:val="lowerLetter"/>
      <w:lvlText w:val="%8)"/>
      <w:lvlJc w:val="left"/>
      <w:pPr>
        <w:ind w:left="3501" w:hanging="420"/>
      </w:pPr>
    </w:lvl>
    <w:lvl w:ilvl="8" w:tentative="0">
      <w:start w:val="1"/>
      <w:numFmt w:val="lowerRoman"/>
      <w:lvlText w:val="%9."/>
      <w:lvlJc w:val="right"/>
      <w:pPr>
        <w:ind w:left="3921"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EFC"/>
    <w:rsid w:val="00002F21"/>
    <w:rsid w:val="00025D26"/>
    <w:rsid w:val="00071931"/>
    <w:rsid w:val="000E4B0E"/>
    <w:rsid w:val="00143D3B"/>
    <w:rsid w:val="00154D09"/>
    <w:rsid w:val="002140FE"/>
    <w:rsid w:val="002C0EFC"/>
    <w:rsid w:val="002F6BB3"/>
    <w:rsid w:val="003B126B"/>
    <w:rsid w:val="003D1B0C"/>
    <w:rsid w:val="00463BB1"/>
    <w:rsid w:val="004C7149"/>
    <w:rsid w:val="004E58CA"/>
    <w:rsid w:val="005054E9"/>
    <w:rsid w:val="0055757E"/>
    <w:rsid w:val="00624704"/>
    <w:rsid w:val="006859AB"/>
    <w:rsid w:val="006D0112"/>
    <w:rsid w:val="007208B8"/>
    <w:rsid w:val="00750210"/>
    <w:rsid w:val="00771CF6"/>
    <w:rsid w:val="00946DAA"/>
    <w:rsid w:val="009D69C6"/>
    <w:rsid w:val="009F1D7D"/>
    <w:rsid w:val="00A01D07"/>
    <w:rsid w:val="00A02FDF"/>
    <w:rsid w:val="00A165B9"/>
    <w:rsid w:val="00A97CE7"/>
    <w:rsid w:val="00AE538B"/>
    <w:rsid w:val="00BA7282"/>
    <w:rsid w:val="00BD73B6"/>
    <w:rsid w:val="00BF7BDC"/>
    <w:rsid w:val="00C25240"/>
    <w:rsid w:val="00CF3D5C"/>
    <w:rsid w:val="00D57834"/>
    <w:rsid w:val="00DC1E11"/>
    <w:rsid w:val="00DD7832"/>
    <w:rsid w:val="00DF5A3A"/>
    <w:rsid w:val="00E85470"/>
    <w:rsid w:val="00EC40DE"/>
    <w:rsid w:val="00EF6855"/>
    <w:rsid w:val="00F50FF0"/>
    <w:rsid w:val="00FA12A5"/>
    <w:rsid w:val="00FE27BB"/>
    <w:rsid w:val="48422D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paragraph" w:styleId="2">
    <w:name w:val="heading 1"/>
    <w:basedOn w:val="1"/>
    <w:next w:val="1"/>
    <w:link w:val="16"/>
    <w:qFormat/>
    <w:uiPriority w:val="9"/>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17"/>
    <w:unhideWhenUsed/>
    <w:qFormat/>
    <w:uiPriority w:val="0"/>
    <w:pPr>
      <w:keepNext/>
      <w:keepLines/>
      <w:spacing w:before="260" w:after="260" w:line="416" w:lineRule="auto"/>
      <w:jc w:val="center"/>
      <w:outlineLvl w:val="1"/>
    </w:pPr>
    <w:rPr>
      <w:rFonts w:ascii="仿宋" w:hAnsi="仿宋" w:eastAsia="仿宋" w:cstheme="majorBidi"/>
      <w:b/>
      <w:bCs/>
      <w:sz w:val="32"/>
      <w:szCs w:val="32"/>
    </w:rPr>
  </w:style>
  <w:style w:type="paragraph" w:styleId="4">
    <w:name w:val="heading 3"/>
    <w:basedOn w:val="1"/>
    <w:next w:val="1"/>
    <w:link w:val="18"/>
    <w:unhideWhenUsed/>
    <w:qFormat/>
    <w:uiPriority w:val="9"/>
    <w:pPr>
      <w:keepNext/>
      <w:keepLines/>
      <w:spacing w:before="260" w:after="260" w:line="416" w:lineRule="auto"/>
      <w:outlineLvl w:val="2"/>
    </w:pPr>
    <w:rPr>
      <w:rFonts w:ascii="Times New Roman" w:hAnsi="Times New Roman" w:cs="Times New Roman"/>
      <w:b/>
      <w:bCs/>
      <w:sz w:val="32"/>
      <w:szCs w:val="32"/>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21"/>
    <w:unhideWhenUsed/>
    <w:uiPriority w:val="99"/>
    <w:rPr>
      <w:sz w:val="20"/>
      <w:szCs w:val="20"/>
    </w:rPr>
  </w:style>
  <w:style w:type="paragraph" w:styleId="6">
    <w:name w:val="Balloon Text"/>
    <w:basedOn w:val="1"/>
    <w:link w:val="23"/>
    <w:semiHidden/>
    <w:unhideWhenUsed/>
    <w:qFormat/>
    <w:uiPriority w:val="99"/>
    <w:rPr>
      <w:rFonts w:ascii="Segoe UI" w:hAnsi="Segoe UI" w:cs="Segoe UI"/>
      <w:sz w:val="18"/>
      <w:szCs w:val="18"/>
    </w:rPr>
  </w:style>
  <w:style w:type="paragraph" w:styleId="7">
    <w:name w:val="footer"/>
    <w:basedOn w:val="1"/>
    <w:link w:val="20"/>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9"/>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kern w:val="0"/>
      <w:sz w:val="24"/>
      <w:szCs w:val="24"/>
    </w:rPr>
  </w:style>
  <w:style w:type="paragraph" w:styleId="10">
    <w:name w:val="annotation subject"/>
    <w:basedOn w:val="5"/>
    <w:next w:val="5"/>
    <w:link w:val="22"/>
    <w:semiHidden/>
    <w:unhideWhenUsed/>
    <w:uiPriority w:val="99"/>
    <w:rPr>
      <w:b/>
      <w:bCs/>
    </w:rPr>
  </w:style>
  <w:style w:type="character" w:styleId="13">
    <w:name w:val="FollowedHyperlink"/>
    <w:basedOn w:val="12"/>
    <w:semiHidden/>
    <w:unhideWhenUsed/>
    <w:uiPriority w:val="99"/>
    <w:rPr>
      <w:color w:val="954F72" w:themeColor="followedHyperlink"/>
      <w:u w:val="single"/>
      <w14:textFill>
        <w14:solidFill>
          <w14:schemeClr w14:val="folHlink"/>
        </w14:solidFill>
      </w14:textFill>
    </w:rPr>
  </w:style>
  <w:style w:type="character" w:styleId="14">
    <w:name w:val="Hyperlink"/>
    <w:basedOn w:val="12"/>
    <w:unhideWhenUsed/>
    <w:uiPriority w:val="99"/>
    <w:rPr>
      <w:color w:val="0563C1" w:themeColor="hyperlink"/>
      <w:u w:val="single"/>
      <w14:textFill>
        <w14:solidFill>
          <w14:schemeClr w14:val="hlink"/>
        </w14:solidFill>
      </w14:textFill>
    </w:rPr>
  </w:style>
  <w:style w:type="character" w:styleId="15">
    <w:name w:val="annotation reference"/>
    <w:basedOn w:val="12"/>
    <w:semiHidden/>
    <w:unhideWhenUsed/>
    <w:uiPriority w:val="99"/>
    <w:rPr>
      <w:sz w:val="16"/>
      <w:szCs w:val="16"/>
    </w:rPr>
  </w:style>
  <w:style w:type="character" w:customStyle="1" w:styleId="16">
    <w:name w:val="标题 1 字符"/>
    <w:basedOn w:val="12"/>
    <w:link w:val="2"/>
    <w:qFormat/>
    <w:uiPriority w:val="9"/>
    <w:rPr>
      <w:rFonts w:ascii="Calibri" w:hAnsi="Calibri" w:eastAsia="宋体" w:cs="宋体"/>
      <w:b/>
      <w:bCs/>
      <w:kern w:val="44"/>
      <w:sz w:val="44"/>
      <w:szCs w:val="44"/>
    </w:rPr>
  </w:style>
  <w:style w:type="character" w:customStyle="1" w:styleId="17">
    <w:name w:val="标题 2 字符"/>
    <w:basedOn w:val="12"/>
    <w:link w:val="3"/>
    <w:qFormat/>
    <w:uiPriority w:val="0"/>
    <w:rPr>
      <w:rFonts w:ascii="仿宋" w:hAnsi="仿宋" w:eastAsia="仿宋" w:cstheme="majorBidi"/>
      <w:b/>
      <w:bCs/>
      <w:sz w:val="32"/>
      <w:szCs w:val="32"/>
    </w:rPr>
  </w:style>
  <w:style w:type="character" w:customStyle="1" w:styleId="18">
    <w:name w:val="标题 3 字符"/>
    <w:basedOn w:val="12"/>
    <w:link w:val="4"/>
    <w:qFormat/>
    <w:uiPriority w:val="9"/>
    <w:rPr>
      <w:rFonts w:ascii="Times New Roman" w:hAnsi="Times New Roman" w:eastAsia="宋体" w:cs="Times New Roman"/>
      <w:b/>
      <w:bCs/>
      <w:sz w:val="32"/>
      <w:szCs w:val="32"/>
    </w:rPr>
  </w:style>
  <w:style w:type="character" w:customStyle="1" w:styleId="19">
    <w:name w:val="页眉 字符"/>
    <w:basedOn w:val="12"/>
    <w:link w:val="8"/>
    <w:uiPriority w:val="99"/>
    <w:rPr>
      <w:sz w:val="18"/>
      <w:szCs w:val="18"/>
    </w:rPr>
  </w:style>
  <w:style w:type="character" w:customStyle="1" w:styleId="20">
    <w:name w:val="页脚 字符"/>
    <w:basedOn w:val="12"/>
    <w:link w:val="7"/>
    <w:uiPriority w:val="99"/>
    <w:rPr>
      <w:sz w:val="18"/>
      <w:szCs w:val="18"/>
    </w:rPr>
  </w:style>
  <w:style w:type="character" w:customStyle="1" w:styleId="21">
    <w:name w:val="批注文字 字符"/>
    <w:basedOn w:val="12"/>
    <w:link w:val="5"/>
    <w:uiPriority w:val="99"/>
    <w:rPr>
      <w:rFonts w:ascii="Calibri" w:hAnsi="Calibri" w:eastAsia="宋体" w:cs="宋体"/>
      <w:sz w:val="20"/>
      <w:szCs w:val="20"/>
    </w:rPr>
  </w:style>
  <w:style w:type="character" w:customStyle="1" w:styleId="22">
    <w:name w:val="批注主题 字符"/>
    <w:basedOn w:val="21"/>
    <w:link w:val="10"/>
    <w:semiHidden/>
    <w:qFormat/>
    <w:uiPriority w:val="99"/>
    <w:rPr>
      <w:rFonts w:ascii="Calibri" w:hAnsi="Calibri" w:eastAsia="宋体" w:cs="宋体"/>
      <w:b/>
      <w:bCs/>
      <w:sz w:val="20"/>
      <w:szCs w:val="20"/>
    </w:rPr>
  </w:style>
  <w:style w:type="character" w:customStyle="1" w:styleId="23">
    <w:name w:val="批注框文本 字符"/>
    <w:basedOn w:val="12"/>
    <w:link w:val="6"/>
    <w:semiHidden/>
    <w:qFormat/>
    <w:uiPriority w:val="99"/>
    <w:rPr>
      <w:rFonts w:ascii="Segoe UI" w:hAnsi="Segoe UI" w:eastAsia="宋体" w:cs="Segoe UI"/>
      <w:sz w:val="18"/>
      <w:szCs w:val="18"/>
    </w:rPr>
  </w:style>
  <w:style w:type="paragraph" w:styleId="24">
    <w:name w:val="List Paragraph"/>
    <w:basedOn w:val="1"/>
    <w:qFormat/>
    <w:uiPriority w:val="99"/>
    <w:pPr>
      <w:ind w:firstLine="420" w:firstLineChars="200"/>
    </w:pPr>
    <w:rPr>
      <w:rFonts w:cs="Times New Roman"/>
      <w:szCs w:val="22"/>
    </w:rPr>
  </w:style>
  <w:style w:type="paragraph" w:customStyle="1" w:styleId="25">
    <w:name w:val="Char Char Char"/>
    <w:basedOn w:val="1"/>
    <w:uiPriority w:val="0"/>
    <w:rPr>
      <w:rFonts w:ascii="Tahoma" w:hAnsi="Tahoma" w:cs="Times New Roman"/>
      <w:sz w:val="24"/>
      <w:szCs w:val="20"/>
    </w:rPr>
  </w:style>
  <w:style w:type="paragraph" w:customStyle="1" w:styleId="26">
    <w:name w:val="Revision"/>
    <w:hidden/>
    <w:semiHidden/>
    <w:uiPriority w:val="99"/>
    <w:rPr>
      <w:rFonts w:ascii="Calibri" w:hAnsi="Calibri"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29</Pages>
  <Words>1907</Words>
  <Characters>10871</Characters>
  <Lines>90</Lines>
  <Paragraphs>25</Paragraphs>
  <TotalTime>50</TotalTime>
  <ScaleCrop>false</ScaleCrop>
  <LinksUpToDate>false</LinksUpToDate>
  <CharactersWithSpaces>12753</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2020-07-23T13:52:00Z</dcterms:created>
  <dc:creator>gyb1</dc:creator>
  <cp:lastModifiedBy>ammyli</cp:lastModifiedBy>
  <cp:lastPrinted>2020-07-27T07:26:00Z</cp:lastPrinted>
  <dcterms:modified xsi:type="dcterms:W3CDTF">2020-08-12T02:59:04Z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